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95E6B">
      <w:pPr>
        <w:widowControl w:val="0"/>
        <w:kinsoku/>
        <w:overflowPunct w:val="0"/>
        <w:spacing w:line="620" w:lineRule="exact"/>
        <w:jc w:val="both"/>
        <w:rPr>
          <w:rFonts w:ascii="方正小标宋_GBK" w:eastAsia="方正小标宋_GBK"/>
          <w:sz w:val="44"/>
          <w:szCs w:val="44"/>
        </w:rPr>
      </w:pPr>
    </w:p>
    <w:p w14:paraId="01B84617">
      <w:pPr>
        <w:widowControl w:val="0"/>
        <w:kinsoku/>
        <w:overflowPunct w:val="0"/>
        <w:spacing w:line="620" w:lineRule="exact"/>
        <w:jc w:val="center"/>
        <w:rPr>
          <w:rFonts w:ascii="方正小标宋_GBK" w:eastAsia="方正小标宋_GBK"/>
          <w:color w:val="000000" w:themeColor="text1"/>
          <w:spacing w:val="-2"/>
          <w:sz w:val="44"/>
          <w:szCs w:val="44"/>
        </w:rPr>
      </w:pPr>
      <w:r>
        <w:rPr>
          <w:rFonts w:hint="eastAsia" w:ascii="方正小标宋_GBK" w:eastAsia="方正小标宋_GBK"/>
          <w:color w:val="000000" w:themeColor="text1"/>
          <w:spacing w:val="-2"/>
          <w:sz w:val="44"/>
          <w:szCs w:val="44"/>
        </w:rPr>
        <w:t>姜堰区2025年城市精细化建设管理实施方案</w:t>
      </w:r>
    </w:p>
    <w:p w14:paraId="622A3935">
      <w:pPr>
        <w:widowControl w:val="0"/>
        <w:kinsoku/>
        <w:overflowPunct w:val="0"/>
        <w:spacing w:line="620" w:lineRule="exact"/>
        <w:jc w:val="center"/>
        <w:rPr>
          <w:rFonts w:ascii="方正楷体_GBK" w:hAnsi="方正仿宋_GBK" w:eastAsia="方正楷体_GBK" w:cs="方正仿宋_GBK"/>
          <w:color w:val="000000" w:themeColor="text1"/>
          <w:sz w:val="32"/>
          <w:szCs w:val="32"/>
        </w:rPr>
      </w:pPr>
    </w:p>
    <w:p w14:paraId="4777F7AE">
      <w:pPr>
        <w:widowControl w:val="0"/>
        <w:kinsoku/>
        <w:overflowPunct w:val="0"/>
        <w:spacing w:line="620" w:lineRule="exact"/>
        <w:jc w:val="center"/>
        <w:rPr>
          <w:rFonts w:ascii="方正楷体_GBK" w:eastAsia="方正楷体_GBK"/>
          <w:color w:val="000000" w:themeColor="text1"/>
          <w:sz w:val="44"/>
          <w:szCs w:val="44"/>
        </w:rPr>
      </w:pPr>
      <w:r>
        <w:rPr>
          <w:rFonts w:hint="eastAsia" w:ascii="方正楷体_GBK" w:hAnsi="方正仿宋_GBK" w:eastAsia="方正楷体_GBK" w:cs="方正仿宋_GBK"/>
          <w:color w:val="000000" w:themeColor="text1"/>
          <w:sz w:val="32"/>
          <w:szCs w:val="32"/>
        </w:rPr>
        <w:t>（征求意见稿）</w:t>
      </w:r>
    </w:p>
    <w:p w14:paraId="344F1C08">
      <w:pPr>
        <w:widowControl w:val="0"/>
        <w:kinsoku/>
        <w:overflowPunct w:val="0"/>
        <w:spacing w:line="620" w:lineRule="exact"/>
        <w:jc w:val="both"/>
        <w:rPr>
          <w:rFonts w:ascii="方正仿宋_GBK" w:hAnsi="宋体" w:eastAsia="方正仿宋_GBK" w:cs="宋体"/>
          <w:color w:val="000000" w:themeColor="text1"/>
          <w:sz w:val="32"/>
          <w:szCs w:val="32"/>
        </w:rPr>
      </w:pPr>
    </w:p>
    <w:p w14:paraId="3A9E61F5">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eastAsia="方正仿宋_GBK" w:cs="Times New Roman"/>
          <w:color w:val="000000" w:themeColor="text1"/>
          <w:sz w:val="32"/>
          <w:szCs w:val="32"/>
        </w:rPr>
        <w:t>为全面提升城市精细化</w:t>
      </w:r>
      <w:r>
        <w:rPr>
          <w:rFonts w:hint="eastAsia" w:ascii="Times New Roman" w:eastAsia="方正仿宋_GBK" w:cs="Times New Roman"/>
          <w:color w:val="000000" w:themeColor="text1"/>
          <w:sz w:val="32"/>
          <w:szCs w:val="32"/>
        </w:rPr>
        <w:t>建设</w:t>
      </w:r>
      <w:r>
        <w:rPr>
          <w:rFonts w:ascii="Times New Roman" w:eastAsia="方正仿宋_GBK" w:cs="Times New Roman"/>
          <w:color w:val="000000" w:themeColor="text1"/>
          <w:sz w:val="32"/>
          <w:szCs w:val="32"/>
        </w:rPr>
        <w:t>管理水平，进一步改善城市面貌、优化人居环境、提升城市品质，实现城市治理能力和治理体系现代化，促进城市高质量发展，结合我区实际，制定本实施方案。</w:t>
      </w:r>
    </w:p>
    <w:p w14:paraId="72001A31">
      <w:pPr>
        <w:widowControl w:val="0"/>
        <w:kinsoku/>
        <w:overflowPunct w:val="0"/>
        <w:spacing w:line="620" w:lineRule="exact"/>
        <w:ind w:firstLine="640" w:firstLineChars="200"/>
        <w:jc w:val="both"/>
        <w:rPr>
          <w:rFonts w:ascii="Times New Roman" w:hAnsi="Times New Roman" w:eastAsia="方正黑体_GBK" w:cs="Times New Roman"/>
          <w:color w:val="000000" w:themeColor="text1"/>
          <w:sz w:val="32"/>
          <w:szCs w:val="32"/>
        </w:rPr>
      </w:pPr>
      <w:r>
        <w:rPr>
          <w:rFonts w:ascii="Times New Roman" w:eastAsia="方正黑体_GBK" w:cs="Times New Roman"/>
          <w:color w:val="000000" w:themeColor="text1"/>
          <w:sz w:val="32"/>
          <w:szCs w:val="32"/>
        </w:rPr>
        <w:t>一、指导思想</w:t>
      </w:r>
    </w:p>
    <w:p w14:paraId="47BB9523">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eastAsia="方正仿宋_GBK" w:cs="Times New Roman"/>
          <w:color w:val="000000" w:themeColor="text1"/>
          <w:sz w:val="32"/>
          <w:szCs w:val="32"/>
        </w:rPr>
        <w:t>以习近平新时代中国特色社会主义思想为指导，深入贯彻党的二十届三中全会精神和习近平总书记关于城市工作的重要论述，立足新发展阶段，完整、准确、全面贯彻新发展理念，牢固树立以人民为中心的发展思想，聚焦社会关注、群众反映强烈的突出问题和瓶颈短板，坚持源头治理与常态长效治理相结合，不断提升城市管理制度化、法治化、智慧化、社会化水平，努力让城市更安全、更健康、更宜居</w:t>
      </w:r>
      <w:r>
        <w:rPr>
          <w:rFonts w:hint="eastAsia" w:ascii="Times New Roman" w:eastAsia="方正仿宋_GBK" w:cs="Times New Roman"/>
          <w:color w:val="000000" w:themeColor="text1"/>
          <w:sz w:val="32"/>
          <w:szCs w:val="32"/>
        </w:rPr>
        <w:t>、更宜业、更宜游</w:t>
      </w:r>
      <w:r>
        <w:rPr>
          <w:rFonts w:ascii="Times New Roman" w:eastAsia="方正仿宋_GBK" w:cs="Times New Roman"/>
          <w:color w:val="000000" w:themeColor="text1"/>
          <w:sz w:val="32"/>
          <w:szCs w:val="32"/>
        </w:rPr>
        <w:t>，充分彰显城市能级、品质、形象，为加快</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康养名城</w:t>
      </w:r>
      <w:r>
        <w:rPr>
          <w:rFonts w:ascii="Times New Roman" w:hAnsi="Times New Roman" w:eastAsia="方正仿宋_GBK" w:cs="Times New Roman"/>
          <w:color w:val="000000" w:themeColor="text1"/>
          <w:sz w:val="32"/>
          <w:szCs w:val="32"/>
        </w:rPr>
        <w:t xml:space="preserve"> </w:t>
      </w:r>
      <w:r>
        <w:rPr>
          <w:rFonts w:ascii="Times New Roman" w:eastAsia="方正仿宋_GBK" w:cs="Times New Roman"/>
          <w:color w:val="000000" w:themeColor="text1"/>
          <w:sz w:val="32"/>
          <w:szCs w:val="32"/>
        </w:rPr>
        <w:t>活力姜堰</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建设提供坚实支撑和坚强保障。</w:t>
      </w:r>
    </w:p>
    <w:p w14:paraId="73C453AC">
      <w:pPr>
        <w:widowControl w:val="0"/>
        <w:kinsoku/>
        <w:overflowPunct w:val="0"/>
        <w:spacing w:line="620" w:lineRule="exact"/>
        <w:ind w:firstLine="640" w:firstLineChars="200"/>
        <w:jc w:val="both"/>
        <w:rPr>
          <w:rFonts w:ascii="Times New Roman" w:hAnsi="Times New Roman" w:eastAsia="方正黑体_GBK" w:cs="Times New Roman"/>
          <w:color w:val="000000" w:themeColor="text1"/>
          <w:sz w:val="32"/>
          <w:szCs w:val="32"/>
        </w:rPr>
      </w:pPr>
      <w:r>
        <w:rPr>
          <w:rFonts w:ascii="Times New Roman" w:eastAsia="方正黑体_GBK" w:cs="Times New Roman"/>
          <w:color w:val="000000" w:themeColor="text1"/>
          <w:sz w:val="32"/>
          <w:szCs w:val="32"/>
        </w:rPr>
        <w:t>二、工作目标</w:t>
      </w:r>
    </w:p>
    <w:p w14:paraId="1FF3164D">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eastAsia="方正仿宋_GBK" w:cs="Times New Roman"/>
          <w:color w:val="000000" w:themeColor="text1"/>
          <w:sz w:val="32"/>
          <w:szCs w:val="32"/>
        </w:rPr>
        <w:t>坚持将精细化</w:t>
      </w:r>
      <w:r>
        <w:rPr>
          <w:rFonts w:hint="eastAsia" w:ascii="Times New Roman" w:eastAsia="方正仿宋_GBK" w:cs="Times New Roman"/>
          <w:color w:val="000000" w:themeColor="text1"/>
          <w:sz w:val="32"/>
          <w:szCs w:val="32"/>
        </w:rPr>
        <w:t>建设</w:t>
      </w:r>
      <w:r>
        <w:rPr>
          <w:rFonts w:ascii="Times New Roman" w:eastAsia="方正仿宋_GBK" w:cs="Times New Roman"/>
          <w:color w:val="000000" w:themeColor="text1"/>
          <w:sz w:val="32"/>
          <w:szCs w:val="32"/>
        </w:rPr>
        <w:t>管理理念要求贯穿城市建设管理各领域全过程，通过实施基础设施提标、市容环境提质、文明秩序提升、园林绿化提靓、物业管理提优、服务保障提效等</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六大行动</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，实现城市</w:t>
      </w:r>
      <w:r>
        <w:rPr>
          <w:rFonts w:hint="eastAsia" w:ascii="Times New Roman" w:eastAsia="方正仿宋_GBK" w:cs="Times New Roman"/>
          <w:color w:val="000000" w:themeColor="text1"/>
          <w:sz w:val="32"/>
          <w:szCs w:val="32"/>
        </w:rPr>
        <w:t>建设</w:t>
      </w:r>
      <w:r>
        <w:rPr>
          <w:rFonts w:ascii="Times New Roman" w:eastAsia="方正仿宋_GBK" w:cs="Times New Roman"/>
          <w:color w:val="000000" w:themeColor="text1"/>
          <w:sz w:val="32"/>
          <w:szCs w:val="32"/>
        </w:rPr>
        <w:t>管理效能大幅提升，市容环境整洁清新，城市运行规范有序，整体风貌明显改观，让人民群众更有获得感、幸福感和安全感。</w:t>
      </w:r>
    </w:p>
    <w:p w14:paraId="4F7696C2">
      <w:pPr>
        <w:widowControl w:val="0"/>
        <w:numPr>
          <w:ilvl w:val="0"/>
          <w:numId w:val="1"/>
        </w:numPr>
        <w:kinsoku/>
        <w:overflowPunct w:val="0"/>
        <w:spacing w:line="620" w:lineRule="exact"/>
        <w:ind w:firstLine="640" w:firstLineChars="200"/>
        <w:jc w:val="both"/>
        <w:rPr>
          <w:rFonts w:ascii="Times New Roman" w:hAnsi="Times New Roman" w:eastAsia="方正黑体_GBK" w:cs="Times New Roman"/>
          <w:color w:val="000000" w:themeColor="text1"/>
          <w:sz w:val="32"/>
          <w:szCs w:val="32"/>
        </w:rPr>
      </w:pPr>
      <w:r>
        <w:rPr>
          <w:rFonts w:ascii="Times New Roman" w:eastAsia="方正黑体_GBK" w:cs="Times New Roman"/>
          <w:color w:val="000000" w:themeColor="text1"/>
          <w:sz w:val="32"/>
          <w:szCs w:val="32"/>
        </w:rPr>
        <w:t>主要任务</w:t>
      </w:r>
    </w:p>
    <w:p w14:paraId="154BA0CB">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hAnsi="Times New Roman" w:eastAsia="方正楷体_GBK" w:cs="Times New Roman"/>
          <w:bCs/>
          <w:color w:val="000000" w:themeColor="text1"/>
          <w:sz w:val="32"/>
          <w:szCs w:val="32"/>
        </w:rPr>
        <w:t>（一）基础设施提标行动</w:t>
      </w:r>
    </w:p>
    <w:p w14:paraId="368EB6E4">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hAnsi="Times New Roman" w:eastAsia="方正仿宋_GBK" w:cs="Times New Roman"/>
          <w:b/>
          <w:bCs/>
          <w:color w:val="000000" w:themeColor="text1"/>
          <w:sz w:val="32"/>
          <w:szCs w:val="32"/>
        </w:rPr>
        <w:t>1.实施城区道路畅通工程</w:t>
      </w:r>
      <w:r>
        <w:rPr>
          <w:rFonts w:ascii="Times New Roman" w:hAnsi="Times New Roman" w:eastAsia="方正仿宋_GBK" w:cs="Times New Roman"/>
          <w:color w:val="000000" w:themeColor="text1"/>
          <w:sz w:val="32"/>
          <w:szCs w:val="32"/>
        </w:rPr>
        <w:t>。围绕群众“出行难”“行车难”，新改建外环东路、</w:t>
      </w:r>
      <w:r>
        <w:rPr>
          <w:rFonts w:hint="eastAsia" w:ascii="Times New Roman" w:hAnsi="Times New Roman" w:eastAsia="方正仿宋_GBK" w:cs="Times New Roman"/>
          <w:color w:val="000000" w:themeColor="text1"/>
          <w:sz w:val="32"/>
          <w:szCs w:val="32"/>
        </w:rPr>
        <w:t>科技路、</w:t>
      </w:r>
      <w:r>
        <w:rPr>
          <w:rFonts w:ascii="Times New Roman" w:hAnsi="Times New Roman" w:eastAsia="方正仿宋_GBK" w:cs="Times New Roman"/>
          <w:color w:val="000000" w:themeColor="text1"/>
          <w:sz w:val="32"/>
          <w:szCs w:val="32"/>
        </w:rPr>
        <w:t>兴姜路、沿河路、滨河路、幸福南路、振宇西路等道路工程，进一步打通断头路、畅通微循环，让群众出行更便捷、更舒心。</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单位：区住建局、</w:t>
      </w:r>
      <w:r>
        <w:rPr>
          <w:rFonts w:hint="eastAsia" w:ascii="Times New Roman" w:eastAsia="方正楷体_GBK" w:cs="Times New Roman"/>
          <w:color w:val="000000" w:themeColor="text1"/>
          <w:sz w:val="32"/>
          <w:szCs w:val="32"/>
        </w:rPr>
        <w:t>区财政局、开发区、</w:t>
      </w:r>
      <w:r>
        <w:rPr>
          <w:rFonts w:ascii="Times New Roman" w:eastAsia="方正楷体_GBK" w:cs="Times New Roman"/>
          <w:color w:val="000000" w:themeColor="text1"/>
          <w:sz w:val="32"/>
          <w:szCs w:val="32"/>
        </w:rPr>
        <w:t>罗塘街道</w:t>
      </w:r>
      <w:r>
        <w:rPr>
          <w:rFonts w:hint="eastAsia" w:ascii="Times New Roman" w:eastAsia="方正楷体_GBK" w:cs="Times New Roman"/>
          <w:color w:val="000000" w:themeColor="text1"/>
          <w:sz w:val="32"/>
          <w:szCs w:val="32"/>
        </w:rPr>
        <w:t>、天目山街道</w:t>
      </w:r>
      <w:r>
        <w:rPr>
          <w:rFonts w:ascii="Times New Roman" w:eastAsia="方正楷体_GBK" w:cs="Times New Roman"/>
          <w:color w:val="000000" w:themeColor="text1"/>
          <w:sz w:val="32"/>
          <w:szCs w:val="32"/>
        </w:rPr>
        <w:t>）</w:t>
      </w:r>
    </w:p>
    <w:p w14:paraId="32D64BC9">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2.实施供水供气管网改造工程</w:t>
      </w:r>
      <w:r>
        <w:rPr>
          <w:rFonts w:ascii="Times New Roman" w:hAnsi="Times New Roman" w:eastAsia="方正仿宋_GBK" w:cs="Times New Roman"/>
          <w:color w:val="000000" w:themeColor="text1"/>
          <w:sz w:val="32"/>
          <w:szCs w:val="32"/>
        </w:rPr>
        <w:t>。完善供水供气网络，改造老旧自来水管网2.4公里、燃气管网20公里，新建燃气管网3.2公里，实现智慧管网全覆盖，保障水气运行安全稳定。</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单位：区住建局）</w:t>
      </w:r>
    </w:p>
    <w:p w14:paraId="4C14B2C0">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hAnsi="Times New Roman" w:eastAsia="方正仿宋_GBK" w:cs="Times New Roman"/>
          <w:b/>
          <w:bCs/>
          <w:color w:val="000000" w:themeColor="text1"/>
          <w:sz w:val="32"/>
          <w:szCs w:val="32"/>
        </w:rPr>
        <w:t>3.实施水环境基础设施提升工程</w:t>
      </w:r>
      <w:r>
        <w:rPr>
          <w:rFonts w:ascii="Times New Roman" w:hAnsi="Times New Roman" w:eastAsia="方正仿宋_GBK" w:cs="Times New Roman"/>
          <w:color w:val="000000" w:themeColor="text1"/>
          <w:sz w:val="32"/>
          <w:szCs w:val="32"/>
        </w:rPr>
        <w:t>。纵深推进污水治理精准攻坚，补齐污水收治短板，完成小区雨污分流改造30个，建成达标区5.33平方公里，疏通检测维修污水管网3公里；全面完成城区生活污水处理厂改扩建工程，确保污水处理能力提升至9万吨/日，推动水环境质量持续改善。</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单位：区住建局）</w:t>
      </w:r>
    </w:p>
    <w:p w14:paraId="0624B8F3">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hAnsi="Times New Roman" w:eastAsia="方正仿宋_GBK" w:cs="Times New Roman"/>
          <w:b/>
          <w:bCs/>
          <w:color w:val="000000" w:themeColor="text1"/>
          <w:sz w:val="32"/>
          <w:szCs w:val="32"/>
        </w:rPr>
        <w:t>4.实施城市生命线安全工程</w:t>
      </w:r>
      <w:r>
        <w:rPr>
          <w:rFonts w:ascii="Times New Roman" w:hAnsi="Times New Roman" w:eastAsia="方正仿宋_GBK" w:cs="Times New Roman"/>
          <w:color w:val="000000" w:themeColor="text1"/>
          <w:sz w:val="32"/>
          <w:szCs w:val="32"/>
        </w:rPr>
        <w:t>。精准绘制城市生命线“一张图”，聚焦燃气、供水、防涝、道路、桥梁等关键场景，在学校、医院等重点点位布设物联感知设备200套左右，实现对城市生命线工程运行情况的全面感知、自动采集、监测分析、预警上报，构建城市安全一体化感知监测网络。</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单位：区住建局）</w:t>
      </w:r>
    </w:p>
    <w:p w14:paraId="42BC0F68">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eastAsia="方正楷体_GBK" w:cs="Times New Roman"/>
          <w:color w:val="000000" w:themeColor="text1"/>
          <w:sz w:val="32"/>
          <w:szCs w:val="32"/>
        </w:rPr>
        <w:t>（二）市容环境提质行动</w:t>
      </w:r>
    </w:p>
    <w:p w14:paraId="48BEE88A">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color w:val="000000" w:themeColor="text1"/>
          <w:sz w:val="32"/>
          <w:szCs w:val="32"/>
        </w:rPr>
        <w:t>5.规范摊点经营管理。</w:t>
      </w:r>
      <w:r>
        <w:rPr>
          <w:rFonts w:ascii="Times New Roman" w:hAnsi="Times New Roman" w:eastAsia="方正仿宋_GBK" w:cs="Times New Roman"/>
          <w:color w:val="000000" w:themeColor="text1"/>
          <w:sz w:val="32"/>
          <w:szCs w:val="32"/>
        </w:rPr>
        <w:t>出台《姜堰区设摊经营管理实施意见》，按照“疏堵结合、因地制宜”原则，引导各类主体适度设置外摆摊位，方便市场消费，提升商业氛围，打造杭州路、殷唐路、姜官路</w:t>
      </w:r>
      <w:r>
        <w:rPr>
          <w:rFonts w:hint="eastAsia" w:ascii="Times New Roman" w:hAnsi="Times New Roman" w:eastAsia="方正仿宋_GBK" w:cs="Times New Roman"/>
          <w:color w:val="000000" w:themeColor="text1"/>
          <w:sz w:val="32"/>
          <w:szCs w:val="32"/>
        </w:rPr>
        <w:t>三</w:t>
      </w:r>
      <w:r>
        <w:rPr>
          <w:rFonts w:ascii="Times New Roman" w:hAnsi="Times New Roman" w:eastAsia="方正仿宋_GBK" w:cs="Times New Roman"/>
          <w:color w:val="000000" w:themeColor="text1"/>
          <w:sz w:val="32"/>
          <w:szCs w:val="32"/>
        </w:rPr>
        <w:t>条示范路；推动城市管理由“执法型”向“服务型”纵深转变，定时定点设置“潮汐摊区”，打造步行街、迎宾路两条示范路；按照“便民利民不扰民”理念，新建姜官路、老庄路两个农副产品摊点疏导区，让城市“烟火气”有味更有序。</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单位：区城管局</w:t>
      </w:r>
      <w:r>
        <w:rPr>
          <w:rFonts w:hint="eastAsia" w:ascii="Times New Roman" w:eastAsia="方正楷体_GBK" w:cs="Times New Roman"/>
          <w:color w:val="000000" w:themeColor="text1"/>
          <w:sz w:val="32"/>
          <w:szCs w:val="32"/>
        </w:rPr>
        <w:t>、</w:t>
      </w:r>
      <w:r>
        <w:rPr>
          <w:rFonts w:ascii="Times New Roman" w:eastAsia="方正楷体_GBK" w:cs="Times New Roman"/>
          <w:color w:val="000000" w:themeColor="text1"/>
          <w:sz w:val="32"/>
          <w:szCs w:val="32"/>
        </w:rPr>
        <w:t>区自规分局、区商务局、区市场监管局、三水街道、罗塘街道、天目山街道）</w:t>
      </w:r>
    </w:p>
    <w:p w14:paraId="32D36255">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hAnsi="Times New Roman" w:eastAsia="方正仿宋_GBK" w:cs="Times New Roman"/>
          <w:b/>
          <w:color w:val="000000" w:themeColor="text1"/>
          <w:sz w:val="32"/>
          <w:szCs w:val="32"/>
        </w:rPr>
        <w:t>6.强化立面空间管理。</w:t>
      </w:r>
      <w:r>
        <w:rPr>
          <w:rFonts w:ascii="Times New Roman" w:hAnsi="Times New Roman" w:eastAsia="方正仿宋_GBK" w:cs="Times New Roman"/>
          <w:color w:val="000000" w:themeColor="text1"/>
          <w:sz w:val="32"/>
          <w:szCs w:val="32"/>
        </w:rPr>
        <w:t>编制《姜堰区户外广告设置指南》，按照“政府引导、专业设计”原则，进一步规范户外广告设置与管理，做到总体布局科学、资源配置合理、特色文化彰显，彻底清除违法违规广告店招，实现“颜值”与“安全”双提升，建成北大街、古罗塘旅游文化景区两个户外广告样板街区；持续开展“空中蜘蛛网”“飞线”、废弃杆线清理行动，推行“多杆合一”“多箱合一”“集约设置”，分步推进线缆入地，净化城市天际线。</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单位：区城管局、区通管办</w:t>
      </w:r>
      <w:r>
        <w:rPr>
          <w:rFonts w:hint="eastAsia" w:ascii="Times New Roman" w:eastAsia="方正楷体_GBK" w:cs="Times New Roman"/>
          <w:color w:val="000000" w:themeColor="text1"/>
          <w:sz w:val="32"/>
          <w:szCs w:val="32"/>
        </w:rPr>
        <w:t>、</w:t>
      </w:r>
      <w:r>
        <w:rPr>
          <w:rFonts w:ascii="Times New Roman" w:eastAsia="方正楷体_GBK" w:cs="Times New Roman"/>
          <w:color w:val="000000" w:themeColor="text1"/>
          <w:sz w:val="32"/>
          <w:szCs w:val="32"/>
        </w:rPr>
        <w:t>区自规分局、区住建局、各街道、各杆线权属单位）</w:t>
      </w:r>
    </w:p>
    <w:p w14:paraId="22976299">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hAnsi="Times New Roman" w:eastAsia="方正仿宋_GBK" w:cs="Times New Roman"/>
          <w:b/>
          <w:color w:val="000000" w:themeColor="text1"/>
          <w:sz w:val="32"/>
          <w:szCs w:val="32"/>
        </w:rPr>
        <w:t>7.深化环卫保洁管理。</w:t>
      </w:r>
      <w:r>
        <w:rPr>
          <w:rFonts w:ascii="Times New Roman" w:hAnsi="Times New Roman" w:eastAsia="方正仿宋_GBK" w:cs="Times New Roman"/>
          <w:color w:val="000000" w:themeColor="text1"/>
          <w:sz w:val="32"/>
          <w:szCs w:val="32"/>
        </w:rPr>
        <w:t>围绕环卫作业标准化、精细化目标，全面推行“机械换人”，提高环卫精细化作业水平；深化环卫作业市场化改革，完善环卫保洁“1+N”一体化服务体系，实现“一把扫帚扫到底”；响应“双碳”战略，践行环卫行业绿色发展理念，积极推广使用新能源作业车辆，年内城市主要道路机扫率、建成区道路机扫率分别达100%、97%。</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单位：区城管局）</w:t>
      </w:r>
    </w:p>
    <w:p w14:paraId="1A51FC6F">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hAnsi="Times New Roman" w:eastAsia="方正仿宋_GBK" w:cs="Times New Roman"/>
          <w:b/>
          <w:color w:val="000000" w:themeColor="text1"/>
          <w:sz w:val="32"/>
          <w:szCs w:val="32"/>
        </w:rPr>
        <w:t>8.加强垃圾分类管理。</w:t>
      </w:r>
      <w:r>
        <w:rPr>
          <w:rFonts w:ascii="Times New Roman" w:hAnsi="Times New Roman" w:eastAsia="方正仿宋_GBK" w:cs="Times New Roman"/>
          <w:color w:val="000000" w:themeColor="text1"/>
          <w:sz w:val="32"/>
          <w:szCs w:val="32"/>
        </w:rPr>
        <w:t>深入推进垃圾分类工作，构建“网格员+督导员+志愿者”治理模式，引导居民增强垃圾分类意识，让“新时尚”成为“好习惯”；实施“农村生活垃圾收运处置设施达标提升工程”，强化要素保障，健全完善全区垃圾收运体系，打造垃圾分类收运处置溱湖湾</w:t>
      </w:r>
      <w:r>
        <w:rPr>
          <w:rFonts w:hint="eastAsia" w:ascii="Times New Roman" w:hAnsi="Times New Roman" w:eastAsia="方正仿宋_GBK" w:cs="Times New Roman"/>
          <w:color w:val="000000" w:themeColor="text1"/>
          <w:sz w:val="32"/>
          <w:szCs w:val="32"/>
        </w:rPr>
        <w:t>样板</w:t>
      </w:r>
      <w:r>
        <w:rPr>
          <w:rFonts w:ascii="Times New Roman" w:hAnsi="Times New Roman" w:eastAsia="方正仿宋_GBK" w:cs="Times New Roman"/>
          <w:color w:val="000000" w:themeColor="text1"/>
          <w:sz w:val="32"/>
          <w:szCs w:val="32"/>
        </w:rPr>
        <w:t>区；建立健全建筑垃圾全过程管理制度，强化建筑垃圾运输处置管理，注重源头产出、中端运输管控，加强末端处置消纳监管，确保垃圾分类设施投放覆盖率、生活垃圾无害化处理率、建筑垃圾规范化处置率保持100％。</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单位：区城管局</w:t>
      </w:r>
      <w:r>
        <w:rPr>
          <w:rFonts w:hint="eastAsia" w:ascii="Times New Roman" w:eastAsia="方正楷体_GBK" w:cs="Times New Roman"/>
          <w:color w:val="000000" w:themeColor="text1"/>
          <w:sz w:val="32"/>
          <w:szCs w:val="32"/>
        </w:rPr>
        <w:t>、</w:t>
      </w:r>
      <w:r>
        <w:rPr>
          <w:rFonts w:ascii="Times New Roman" w:eastAsia="方正楷体_GBK" w:cs="Times New Roman"/>
          <w:color w:val="000000" w:themeColor="text1"/>
          <w:sz w:val="32"/>
          <w:szCs w:val="32"/>
        </w:rPr>
        <w:t>区住建局、各镇街）</w:t>
      </w:r>
    </w:p>
    <w:p w14:paraId="452A73F9">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hAnsi="Times New Roman" w:eastAsia="方正仿宋_GBK" w:cs="Times New Roman"/>
          <w:b/>
          <w:color w:val="000000" w:themeColor="text1"/>
          <w:sz w:val="32"/>
          <w:szCs w:val="32"/>
        </w:rPr>
        <w:t>9.突出河道环境管理。</w:t>
      </w:r>
      <w:r>
        <w:rPr>
          <w:rFonts w:ascii="Times New Roman" w:hAnsi="Times New Roman" w:eastAsia="方正仿宋_GBK" w:cs="Times New Roman"/>
          <w:color w:val="000000" w:themeColor="text1"/>
          <w:sz w:val="32"/>
          <w:szCs w:val="32"/>
        </w:rPr>
        <w:t>实施姜溱河城区段环境综合整治工程，升级改造河道沿线景观绿化，再造“河畅、水清、岸绿、景美、宜游”的网红打卡地；</w:t>
      </w:r>
      <w:r>
        <w:rPr>
          <w:rFonts w:ascii="Times New Roman" w:eastAsia="方正仿宋_GBK" w:cs="Times New Roman"/>
          <w:color w:val="000000" w:themeColor="text1"/>
          <w:sz w:val="32"/>
          <w:szCs w:val="32"/>
        </w:rPr>
        <w:t>健全河湖管护机制，压紧压实河长责任，着力推进落实河湖</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三个清单</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机制，</w:t>
      </w:r>
      <w:r>
        <w:rPr>
          <w:rFonts w:ascii="Times New Roman" w:hAnsi="Times New Roman" w:eastAsia="方正仿宋_GBK" w:cs="Times New Roman"/>
          <w:color w:val="000000" w:themeColor="text1"/>
          <w:sz w:val="32"/>
          <w:szCs w:val="32"/>
        </w:rPr>
        <w:t>巩固建成区13条幸福河湖建设成果；全域推进河湖一体化管护，加强源头防控，大力开展水环境专项治理行动，深化完善河道管护市场化运作体系，全力提升河湖管护质效；</w:t>
      </w:r>
      <w:r>
        <w:rPr>
          <w:rFonts w:hint="eastAsia" w:ascii="Times New Roman" w:hAnsi="Times New Roman" w:eastAsia="方正仿宋_GBK" w:cs="Times New Roman"/>
          <w:color w:val="000000" w:themeColor="text1"/>
          <w:sz w:val="32"/>
          <w:szCs w:val="32"/>
        </w:rPr>
        <w:t>实施老328国道沿线30座闸站市场化管理改革，推进闸站运维管理精细化，科学配置引水流量，系统进行城区河道生态调水，科学开展翻水引水、活水保水，全力提升城区水质。</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单位：区水利局、姜堰生态环境局、区住建局、区城管局、区交通局、区农业农村局、各镇街）</w:t>
      </w:r>
    </w:p>
    <w:p w14:paraId="37F4A3CE">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eastAsia="方正楷体_GBK" w:cs="Times New Roman"/>
          <w:color w:val="000000" w:themeColor="text1"/>
          <w:sz w:val="32"/>
          <w:szCs w:val="32"/>
        </w:rPr>
        <w:t>（三）文明秩序提升行动</w:t>
      </w:r>
    </w:p>
    <w:p w14:paraId="5888580B">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color w:val="000000" w:themeColor="text1"/>
          <w:sz w:val="32"/>
          <w:szCs w:val="32"/>
        </w:rPr>
        <w:t>10.</w:t>
      </w:r>
      <w:r>
        <w:rPr>
          <w:rFonts w:ascii="Times New Roman" w:eastAsia="方正仿宋_GBK" w:cs="Times New Roman"/>
          <w:b/>
          <w:color w:val="000000" w:themeColor="text1"/>
          <w:sz w:val="32"/>
          <w:szCs w:val="32"/>
        </w:rPr>
        <w:t>优化</w:t>
      </w:r>
      <w:r>
        <w:rPr>
          <w:rFonts w:ascii="Times New Roman" w:hAnsi="Times New Roman" w:eastAsia="方正仿宋_GBK" w:cs="Times New Roman"/>
          <w:b/>
          <w:color w:val="000000" w:themeColor="text1"/>
          <w:sz w:val="32"/>
          <w:szCs w:val="32"/>
        </w:rPr>
        <w:t>交通组织。</w:t>
      </w:r>
      <w:r>
        <w:rPr>
          <w:rFonts w:ascii="Times New Roman" w:hAnsi="Times New Roman" w:eastAsia="方正仿宋_GBK" w:cs="Times New Roman"/>
          <w:color w:val="000000" w:themeColor="text1"/>
          <w:sz w:val="32"/>
          <w:szCs w:val="32"/>
        </w:rPr>
        <w:t>全面消除城市主次干道交安隐患，优化</w:t>
      </w:r>
      <w:r>
        <w:rPr>
          <w:rFonts w:hint="eastAsia" w:ascii="Times New Roman" w:hAnsi="Times New Roman" w:eastAsia="方正仿宋_GBK" w:cs="Times New Roman"/>
          <w:color w:val="000000" w:themeColor="text1"/>
          <w:sz w:val="32"/>
          <w:szCs w:val="32"/>
        </w:rPr>
        <w:t>南绕城</w:t>
      </w:r>
      <w:r>
        <w:rPr>
          <w:rFonts w:ascii="Times New Roman" w:hAnsi="Times New Roman" w:eastAsia="方正仿宋_GBK" w:cs="Times New Roman"/>
          <w:color w:val="000000" w:themeColor="text1"/>
          <w:sz w:val="32"/>
          <w:szCs w:val="32"/>
        </w:rPr>
        <w:t>快速路重要交叉路口交通方案；完成103个重点路口路段标志标线及人民路、长江路等4条道路约3500米护栏更新，保障行车安全；更新改造城区路口信号机9个，实现城区信号灯路口联网控制率100%；关注校园周边交通安全，堵疏结合、人机合一，全面畅通校园周边交通路网，打造三水大道、振兴路两条平安大道。</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单位：交警姜堰大队</w:t>
      </w:r>
      <w:r>
        <w:rPr>
          <w:rFonts w:hint="eastAsia" w:ascii="Times New Roman" w:eastAsia="方正楷体_GBK" w:cs="Times New Roman"/>
          <w:color w:val="000000" w:themeColor="text1"/>
          <w:sz w:val="32"/>
          <w:szCs w:val="32"/>
        </w:rPr>
        <w:t>、</w:t>
      </w:r>
      <w:r>
        <w:rPr>
          <w:rFonts w:ascii="Times New Roman" w:eastAsia="方正楷体_GBK" w:cs="Times New Roman"/>
          <w:color w:val="000000" w:themeColor="text1"/>
          <w:sz w:val="32"/>
          <w:szCs w:val="32"/>
        </w:rPr>
        <w:t>区交通局）</w:t>
      </w:r>
    </w:p>
    <w:p w14:paraId="1CB8A5A8">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hAnsi="Times New Roman" w:eastAsia="方正仿宋_GBK" w:cs="Times New Roman"/>
          <w:b/>
          <w:color w:val="000000" w:themeColor="text1"/>
          <w:sz w:val="32"/>
          <w:szCs w:val="32"/>
        </w:rPr>
        <w:t>11.整顿停车秩序。</w:t>
      </w:r>
      <w:r>
        <w:rPr>
          <w:rFonts w:ascii="Times New Roman" w:hAnsi="Times New Roman" w:eastAsia="方正仿宋_GBK" w:cs="Times New Roman"/>
          <w:color w:val="000000" w:themeColor="text1"/>
          <w:sz w:val="32"/>
          <w:szCs w:val="32"/>
        </w:rPr>
        <w:t>聚焦“停车难”，推进城市停车友好空间改造，新增公共停车位300个以上、开放共享停车位</w:t>
      </w:r>
      <w:r>
        <w:rPr>
          <w:rFonts w:hint="eastAsia" w:ascii="Times New Roman" w:hAnsi="Times New Roman" w:eastAsia="方正仿宋_GBK" w:cs="Times New Roman"/>
          <w:color w:val="000000" w:themeColor="text1"/>
          <w:sz w:val="32"/>
          <w:szCs w:val="32"/>
        </w:rPr>
        <w:t>200</w:t>
      </w:r>
      <w:r>
        <w:rPr>
          <w:rFonts w:ascii="Times New Roman" w:hAnsi="Times New Roman" w:eastAsia="方正仿宋_GBK" w:cs="Times New Roman"/>
          <w:color w:val="000000" w:themeColor="text1"/>
          <w:sz w:val="32"/>
          <w:szCs w:val="32"/>
        </w:rPr>
        <w:t>个以上；完成智慧停车二期工程建设，改造智能停车位3000个、配建充电桩100个；深化城警联动，加大城区主次干道机动车、非机动车乱停乱放行为的巡查和执法力度，常态化开展“僵尸车”“霸王车”清理行动，还路于民、还位于民，打造三水大道、人民路、南大街三条停车管理示范路。</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单位：区城管局、交警姜堰大队</w:t>
      </w:r>
      <w:r>
        <w:rPr>
          <w:rFonts w:hint="eastAsia" w:ascii="Times New Roman" w:eastAsia="方正楷体_GBK" w:cs="Times New Roman"/>
          <w:color w:val="000000" w:themeColor="text1"/>
          <w:sz w:val="32"/>
          <w:szCs w:val="32"/>
        </w:rPr>
        <w:t>、</w:t>
      </w:r>
      <w:r>
        <w:rPr>
          <w:rFonts w:ascii="Times New Roman" w:eastAsia="方正楷体_GBK" w:cs="Times New Roman"/>
          <w:color w:val="000000" w:themeColor="text1"/>
          <w:sz w:val="32"/>
          <w:szCs w:val="32"/>
        </w:rPr>
        <w:t>区机关事务服务中心）</w:t>
      </w:r>
    </w:p>
    <w:p w14:paraId="623A376A">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hAnsi="Times New Roman" w:eastAsia="方正仿宋_GBK" w:cs="Times New Roman"/>
          <w:b/>
          <w:color w:val="000000" w:themeColor="text1"/>
          <w:sz w:val="32"/>
          <w:szCs w:val="32"/>
        </w:rPr>
        <w:t>12.严格“两违”防控。</w:t>
      </w:r>
      <w:r>
        <w:rPr>
          <w:rFonts w:ascii="Times New Roman" w:hAnsi="Times New Roman" w:eastAsia="方正仿宋_GBK" w:cs="Times New Roman"/>
          <w:color w:val="000000" w:themeColor="text1"/>
          <w:sz w:val="32"/>
          <w:szCs w:val="32"/>
        </w:rPr>
        <w:t>落实“姜堰区防违控违执法监管流程”规定，健全“两违”联防联控和巡查机制，按照“巡查”“制止”“拆除”“联合执法”步骤开展递进式监管，做到“早发现、早制止、早纠正”，全力遏制增量，加快消除存量；持续加大“两违”防控宣传力度，依法打击违法行为，支持罗塘街道、天目山街道</w:t>
      </w:r>
      <w:r>
        <w:rPr>
          <w:rFonts w:hint="eastAsia" w:ascii="Times New Roman" w:hAnsi="Times New Roman" w:eastAsia="方正仿宋_GBK" w:cs="Times New Roman"/>
          <w:color w:val="000000" w:themeColor="text1"/>
          <w:sz w:val="32"/>
          <w:szCs w:val="32"/>
        </w:rPr>
        <w:t>实现全年</w:t>
      </w:r>
      <w:r>
        <w:rPr>
          <w:rFonts w:ascii="Times New Roman" w:hAnsi="Times New Roman" w:eastAsia="方正仿宋_GBK" w:cs="Times New Roman"/>
          <w:color w:val="000000" w:themeColor="text1"/>
          <w:sz w:val="32"/>
          <w:szCs w:val="32"/>
        </w:rPr>
        <w:t>违建零新增。</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单位：区自规分局、区城管局</w:t>
      </w:r>
      <w:r>
        <w:rPr>
          <w:rFonts w:hint="eastAsia" w:ascii="Times New Roman" w:eastAsia="方正楷体_GBK" w:cs="Times New Roman"/>
          <w:color w:val="000000" w:themeColor="text1"/>
          <w:sz w:val="32"/>
          <w:szCs w:val="32"/>
        </w:rPr>
        <w:t>、</w:t>
      </w:r>
      <w:r>
        <w:rPr>
          <w:rFonts w:ascii="Times New Roman" w:eastAsia="方正楷体_GBK" w:cs="Times New Roman"/>
          <w:color w:val="000000" w:themeColor="text1"/>
          <w:sz w:val="32"/>
          <w:szCs w:val="32"/>
        </w:rPr>
        <w:t>区发改委、区公安分局、区住建局、区交通局、区农业农村局、区水利局、区数据局、金融监管支局、各镇街）</w:t>
      </w:r>
    </w:p>
    <w:p w14:paraId="73A82308">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color w:val="000000" w:themeColor="text1"/>
          <w:sz w:val="32"/>
          <w:szCs w:val="32"/>
        </w:rPr>
        <w:t>13.活跃农贸市场。</w:t>
      </w:r>
      <w:r>
        <w:rPr>
          <w:rFonts w:ascii="Times New Roman" w:hAnsi="Times New Roman" w:eastAsia="仿宋" w:cs="Times New Roman"/>
          <w:color w:val="000000" w:themeColor="text1"/>
          <w:sz w:val="32"/>
          <w:szCs w:val="32"/>
        </w:rPr>
        <w:t>严格落实《泰州市农贸市场建设与管理规范》，推进农贸市场提档升级改造，提升农贸市场服务品质、经营环境和食品安全水平，</w:t>
      </w:r>
      <w:r>
        <w:rPr>
          <w:rFonts w:ascii="Times New Roman" w:eastAsia="方正仿宋_GBK" w:cs="Times New Roman"/>
          <w:color w:val="000000" w:themeColor="text1"/>
          <w:sz w:val="32"/>
          <w:szCs w:val="32"/>
        </w:rPr>
        <w:t>改造提升</w:t>
      </w:r>
      <w:r>
        <w:rPr>
          <w:rFonts w:ascii="Times New Roman" w:hAnsi="Times New Roman" w:eastAsia="仿宋" w:cs="Times New Roman"/>
          <w:color w:val="000000" w:themeColor="text1"/>
          <w:sz w:val="32"/>
          <w:szCs w:val="32"/>
        </w:rPr>
        <w:t>城东、开发区等2家智慧化农贸市场，打造高星级标准化、专业化、信息化农贸市场10家。健全农贸市场长效管理机制，推动农贸市场运营管理专业化、内部管理规范化、经营服务优质化、社会评价常态化，努力营造“安全放心、干净整洁、价格公道、服务优质”的市场环境；加强市场周边管理，清理、引导马路市场和流动摊贩，确保市场及周边环境干净整洁、垃圾清运及时，市场发展有序。</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单位：区市场监管局、区城管局）</w:t>
      </w:r>
    </w:p>
    <w:p w14:paraId="1960161A">
      <w:pPr>
        <w:widowControl w:val="0"/>
        <w:kinsoku/>
        <w:overflowPunct w:val="0"/>
        <w:spacing w:line="620" w:lineRule="exact"/>
        <w:ind w:firstLine="640" w:firstLineChars="200"/>
        <w:jc w:val="both"/>
        <w:rPr>
          <w:rFonts w:ascii="Times New Roman" w:hAnsi="Times New Roman" w:eastAsia="方正仿宋_GBK" w:cs="Times New Roman"/>
          <w:b/>
          <w:color w:val="000000" w:themeColor="text1"/>
          <w:sz w:val="32"/>
          <w:szCs w:val="32"/>
        </w:rPr>
      </w:pPr>
      <w:r>
        <w:rPr>
          <w:rFonts w:ascii="Times New Roman" w:hAnsi="Times New Roman" w:eastAsia="方正仿宋_GBK" w:cs="Times New Roman"/>
          <w:b/>
          <w:bCs/>
          <w:color w:val="000000" w:themeColor="text1"/>
          <w:sz w:val="32"/>
          <w:szCs w:val="32"/>
        </w:rPr>
        <w:t>14.规范建筑工地。</w:t>
      </w:r>
      <w:r>
        <w:rPr>
          <w:rFonts w:ascii="Times New Roman" w:eastAsia="方正仿宋_GBK" w:cs="Times New Roman"/>
          <w:color w:val="000000" w:themeColor="text1"/>
          <w:sz w:val="32"/>
          <w:szCs w:val="32"/>
        </w:rPr>
        <w:t>加强标化工地建设，全面落实工地扬尘管控</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六个百分百</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十达标</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要求，实行</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一工地一专员</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挂联督导，推行绿色智慧工地建设，充分利用科技化手段赋能扬尘、噪声监管，年内城区绿色智慧工地创建率达</w:t>
      </w:r>
      <w:r>
        <w:rPr>
          <w:rFonts w:ascii="Times New Roman" w:hAnsi="Times New Roman" w:eastAsia="方正仿宋_GBK" w:cs="Times New Roman"/>
          <w:color w:val="000000" w:themeColor="text1"/>
          <w:sz w:val="32"/>
          <w:szCs w:val="32"/>
        </w:rPr>
        <w:t>100%</w:t>
      </w:r>
      <w:r>
        <w:rPr>
          <w:rFonts w:ascii="Times New Roman" w:eastAsia="方正仿宋_GBK" w:cs="Times New Roman"/>
          <w:color w:val="000000" w:themeColor="text1"/>
          <w:sz w:val="32"/>
          <w:szCs w:val="32"/>
        </w:rPr>
        <w:t>。</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单位：区住建局</w:t>
      </w:r>
      <w:r>
        <w:rPr>
          <w:rFonts w:hint="eastAsia" w:ascii="Times New Roman" w:eastAsia="方正楷体_GBK" w:cs="Times New Roman"/>
          <w:color w:val="000000" w:themeColor="text1"/>
          <w:sz w:val="32"/>
          <w:szCs w:val="32"/>
        </w:rPr>
        <w:t>、</w:t>
      </w:r>
      <w:r>
        <w:rPr>
          <w:rFonts w:ascii="Times New Roman" w:eastAsia="方正楷体_GBK" w:cs="Times New Roman"/>
          <w:color w:val="000000" w:themeColor="text1"/>
          <w:sz w:val="32"/>
          <w:szCs w:val="32"/>
        </w:rPr>
        <w:t>各</w:t>
      </w:r>
      <w:r>
        <w:rPr>
          <w:rFonts w:hint="eastAsia" w:ascii="Times New Roman" w:eastAsia="方正楷体_GBK" w:cs="Times New Roman"/>
          <w:color w:val="000000" w:themeColor="text1"/>
          <w:sz w:val="32"/>
          <w:szCs w:val="32"/>
        </w:rPr>
        <w:t>镇街</w:t>
      </w:r>
      <w:r>
        <w:rPr>
          <w:rFonts w:ascii="Times New Roman" w:eastAsia="方正楷体_GBK" w:cs="Times New Roman"/>
          <w:color w:val="000000" w:themeColor="text1"/>
          <w:sz w:val="32"/>
          <w:szCs w:val="32"/>
        </w:rPr>
        <w:t>）</w:t>
      </w:r>
    </w:p>
    <w:p w14:paraId="20C19DE3">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eastAsia="方正楷体_GBK" w:cs="Times New Roman"/>
          <w:color w:val="000000" w:themeColor="text1"/>
          <w:sz w:val="32"/>
          <w:szCs w:val="32"/>
        </w:rPr>
        <w:t>（四）园林绿化提靓行动</w:t>
      </w:r>
    </w:p>
    <w:p w14:paraId="361079B3">
      <w:pPr>
        <w:widowControl w:val="0"/>
        <w:kinsoku/>
        <w:overflowPunct w:val="0"/>
        <w:spacing w:line="620" w:lineRule="exact"/>
        <w:ind w:firstLine="640" w:firstLineChars="200"/>
        <w:jc w:val="both"/>
        <w:rPr>
          <w:rFonts w:ascii="Times New Roman" w:hAnsi="Times New Roman" w:eastAsia="方正仿宋_GBK" w:cs="Times New Roman"/>
          <w:b/>
          <w:color w:val="000000" w:themeColor="text1"/>
          <w:sz w:val="32"/>
          <w:szCs w:val="32"/>
        </w:rPr>
      </w:pPr>
      <w:r>
        <w:rPr>
          <w:rFonts w:ascii="Times New Roman" w:hAnsi="Times New Roman" w:eastAsia="方正仿宋_GBK" w:cs="Times New Roman"/>
          <w:b/>
          <w:color w:val="000000" w:themeColor="text1"/>
          <w:sz w:val="32"/>
          <w:szCs w:val="32"/>
        </w:rPr>
        <w:t>15.</w:t>
      </w:r>
      <w:r>
        <w:rPr>
          <w:rFonts w:ascii="Times New Roman" w:eastAsia="方正仿宋_GBK" w:cs="Times New Roman"/>
          <w:b/>
          <w:color w:val="000000" w:themeColor="text1"/>
          <w:sz w:val="32"/>
          <w:szCs w:val="32"/>
        </w:rPr>
        <w:t>打造多彩园林。</w:t>
      </w:r>
      <w:r>
        <w:rPr>
          <w:rFonts w:ascii="Times New Roman" w:eastAsia="方正仿宋_GBK" w:cs="Times New Roman"/>
          <w:color w:val="000000" w:themeColor="text1"/>
          <w:sz w:val="32"/>
          <w:szCs w:val="32"/>
        </w:rPr>
        <w:t>科学合理布局绿化空间，按照</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春花烂漫、夏荫浓郁、秋色斑斓、冬阳落地</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的理念，</w:t>
      </w:r>
      <w:r>
        <w:rPr>
          <w:rFonts w:ascii="Times New Roman" w:hAnsi="Times New Roman" w:eastAsia="方正仿宋_GBK" w:cs="Times New Roman"/>
          <w:color w:val="000000" w:themeColor="text1"/>
          <w:sz w:val="32"/>
          <w:szCs w:val="32"/>
        </w:rPr>
        <w:t>在城区部分主次干道、重要景观节点</w:t>
      </w:r>
      <w:r>
        <w:rPr>
          <w:rFonts w:ascii="Times New Roman" w:eastAsia="方正仿宋_GBK" w:cs="Times New Roman"/>
          <w:b/>
          <w:color w:val="000000" w:themeColor="text1"/>
          <w:sz w:val="32"/>
          <w:szCs w:val="32"/>
        </w:rPr>
        <w:t>，</w:t>
      </w:r>
      <w:r>
        <w:rPr>
          <w:rFonts w:ascii="Times New Roman" w:eastAsia="方正仿宋_GBK" w:cs="Times New Roman"/>
          <w:color w:val="000000" w:themeColor="text1"/>
          <w:sz w:val="32"/>
          <w:szCs w:val="32"/>
        </w:rPr>
        <w:t>因地制宜增植色叶、香花、花木类乔木、灌木，加强四季花卉应用及日常绿化养护力度，丰富城市园林植物多样性，提升绿化养护水平和景观效果，全年布置各类花卉</w:t>
      </w:r>
      <w:r>
        <w:rPr>
          <w:rFonts w:ascii="Times New Roman" w:hAnsi="Times New Roman" w:eastAsia="方正仿宋_GBK" w:cs="Times New Roman"/>
          <w:color w:val="000000" w:themeColor="text1"/>
          <w:sz w:val="32"/>
          <w:szCs w:val="32"/>
        </w:rPr>
        <w:t>200</w:t>
      </w:r>
      <w:r>
        <w:rPr>
          <w:rFonts w:ascii="Times New Roman" w:eastAsia="方正仿宋_GBK" w:cs="Times New Roman"/>
          <w:color w:val="000000" w:themeColor="text1"/>
          <w:sz w:val="32"/>
          <w:szCs w:val="32"/>
        </w:rPr>
        <w:t>万盆、面积约</w:t>
      </w:r>
      <w:r>
        <w:rPr>
          <w:rFonts w:ascii="Times New Roman" w:hAnsi="Times New Roman" w:eastAsia="方正仿宋_GBK" w:cs="Times New Roman"/>
          <w:color w:val="000000" w:themeColor="text1"/>
          <w:sz w:val="32"/>
          <w:szCs w:val="32"/>
        </w:rPr>
        <w:t>6800</w:t>
      </w:r>
      <w:r>
        <w:rPr>
          <w:rFonts w:ascii="Times New Roman" w:eastAsia="方正仿宋_GBK" w:cs="Times New Roman"/>
          <w:color w:val="000000" w:themeColor="text1"/>
          <w:sz w:val="32"/>
          <w:szCs w:val="32"/>
        </w:rPr>
        <w:t>平方米，增植彩叶树木约</w:t>
      </w:r>
      <w:r>
        <w:rPr>
          <w:rFonts w:ascii="Times New Roman" w:hAnsi="Times New Roman" w:eastAsia="方正仿宋_GBK" w:cs="Times New Roman"/>
          <w:color w:val="000000" w:themeColor="text1"/>
          <w:sz w:val="32"/>
          <w:szCs w:val="32"/>
        </w:rPr>
        <w:t>1500</w:t>
      </w:r>
      <w:r>
        <w:rPr>
          <w:rFonts w:ascii="Times New Roman" w:eastAsia="方正仿宋_GBK" w:cs="Times New Roman"/>
          <w:color w:val="000000" w:themeColor="text1"/>
          <w:sz w:val="32"/>
          <w:szCs w:val="32"/>
        </w:rPr>
        <w:t>株。</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单位：区住建局）</w:t>
      </w:r>
    </w:p>
    <w:p w14:paraId="27E7CEF6">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color w:val="000000" w:themeColor="text1"/>
          <w:sz w:val="32"/>
          <w:szCs w:val="32"/>
        </w:rPr>
        <w:t>16.拓展绿色空间。</w:t>
      </w:r>
      <w:r>
        <w:rPr>
          <w:rFonts w:ascii="Times New Roman" w:eastAsia="方正仿宋_GBK" w:cs="Times New Roman"/>
          <w:color w:val="000000" w:themeColor="text1"/>
          <w:sz w:val="32"/>
          <w:szCs w:val="32"/>
        </w:rPr>
        <w:t>新建城区绿化苗圃园，因地制宜新改建口袋公园</w:t>
      </w:r>
      <w:r>
        <w:rPr>
          <w:rFonts w:ascii="Times New Roman" w:hAnsi="Times New Roman" w:eastAsia="方正仿宋_GBK" w:cs="Times New Roman"/>
          <w:color w:val="000000" w:themeColor="text1"/>
          <w:sz w:val="32"/>
          <w:szCs w:val="32"/>
        </w:rPr>
        <w:t>3</w:t>
      </w:r>
      <w:r>
        <w:rPr>
          <w:rFonts w:ascii="Times New Roman" w:eastAsia="方正仿宋_GBK" w:cs="Times New Roman"/>
          <w:color w:val="000000" w:themeColor="text1"/>
          <w:sz w:val="32"/>
          <w:szCs w:val="32"/>
        </w:rPr>
        <w:t>个，让</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推窗见绿、</w:t>
      </w:r>
      <w:r>
        <w:rPr>
          <w:rFonts w:hint="eastAsia" w:ascii="Times New Roman" w:eastAsia="方正仿宋_GBK" w:cs="Times New Roman"/>
          <w:color w:val="000000" w:themeColor="text1"/>
          <w:sz w:val="32"/>
          <w:szCs w:val="32"/>
        </w:rPr>
        <w:t>四季有景</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成为生活标</w:t>
      </w:r>
      <w:bookmarkStart w:id="0" w:name="_GoBack"/>
      <w:bookmarkEnd w:id="0"/>
      <w:r>
        <w:rPr>
          <w:rFonts w:ascii="Times New Roman" w:eastAsia="方正仿宋_GBK" w:cs="Times New Roman"/>
          <w:color w:val="000000" w:themeColor="text1"/>
          <w:sz w:val="32"/>
          <w:szCs w:val="32"/>
        </w:rPr>
        <w:t>配；在城市主次干道、临街围墙、高架桥桥墩等区域大力推进立体绿化建设，拓宽城市绿化空间，公园绿地服务半径覆盖率达</w:t>
      </w:r>
      <w:r>
        <w:rPr>
          <w:rFonts w:ascii="Times New Roman" w:hAnsi="Times New Roman" w:eastAsia="方正仿宋_GBK" w:cs="Times New Roman"/>
          <w:color w:val="000000" w:themeColor="text1"/>
          <w:sz w:val="32"/>
          <w:szCs w:val="32"/>
        </w:rPr>
        <w:t>92%</w:t>
      </w:r>
      <w:r>
        <w:rPr>
          <w:rFonts w:ascii="Times New Roman" w:eastAsia="方正仿宋_GBK" w:cs="Times New Roman"/>
          <w:color w:val="000000" w:themeColor="text1"/>
          <w:sz w:val="32"/>
          <w:szCs w:val="32"/>
        </w:rPr>
        <w:t>。</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单位：区住建局</w:t>
      </w:r>
      <w:r>
        <w:rPr>
          <w:rFonts w:hint="eastAsia" w:ascii="Times New Roman" w:eastAsia="方正楷体_GBK" w:cs="Times New Roman"/>
          <w:color w:val="000000" w:themeColor="text1"/>
          <w:sz w:val="32"/>
          <w:szCs w:val="32"/>
        </w:rPr>
        <w:t>、</w:t>
      </w:r>
      <w:r>
        <w:rPr>
          <w:rFonts w:ascii="Times New Roman" w:eastAsia="方正楷体_GBK" w:cs="Times New Roman"/>
          <w:color w:val="000000" w:themeColor="text1"/>
          <w:sz w:val="32"/>
          <w:szCs w:val="32"/>
        </w:rPr>
        <w:t>区自规分局、区交通局、各街道）</w:t>
      </w:r>
    </w:p>
    <w:p w14:paraId="1D3CD618">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hAnsi="Times New Roman" w:eastAsia="方正仿宋_GBK" w:cs="Times New Roman"/>
          <w:b/>
          <w:color w:val="000000" w:themeColor="text1"/>
          <w:sz w:val="32"/>
          <w:szCs w:val="32"/>
        </w:rPr>
        <w:t>17.</w:t>
      </w:r>
      <w:r>
        <w:rPr>
          <w:rFonts w:ascii="Times New Roman" w:eastAsia="方正仿宋_GBK" w:cs="Times New Roman"/>
          <w:b/>
          <w:color w:val="000000" w:themeColor="text1"/>
          <w:sz w:val="32"/>
          <w:szCs w:val="32"/>
        </w:rPr>
        <w:t>提升公园品质。</w:t>
      </w:r>
      <w:r>
        <w:rPr>
          <w:rFonts w:ascii="Times New Roman" w:eastAsia="方正仿宋_GBK" w:cs="Times New Roman"/>
          <w:color w:val="000000" w:themeColor="text1"/>
          <w:sz w:val="32"/>
          <w:szCs w:val="32"/>
        </w:rPr>
        <w:t>坚持</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微改造、精提升</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重视公园、游园便民设施维护、更新，增设直饮水机、自动售卖机等人性化设施，常态化实施深度保洁，杜绝暴露垃圾、地面污渍、绿植残缺、黄土裸露等环境问题，实现设施整洁美观、环境秩序井然、休闲健身舒适的目标。</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单位：区住建局</w:t>
      </w:r>
      <w:r>
        <w:rPr>
          <w:rFonts w:hint="eastAsia" w:ascii="Times New Roman" w:eastAsia="方正楷体_GBK" w:cs="Times New Roman"/>
          <w:color w:val="000000" w:themeColor="text1"/>
          <w:sz w:val="32"/>
          <w:szCs w:val="32"/>
        </w:rPr>
        <w:t>、</w:t>
      </w:r>
      <w:r>
        <w:rPr>
          <w:rFonts w:ascii="Times New Roman" w:eastAsia="方正楷体_GBK" w:cs="Times New Roman"/>
          <w:color w:val="000000" w:themeColor="text1"/>
          <w:sz w:val="32"/>
          <w:szCs w:val="32"/>
        </w:rPr>
        <w:t>各街道）</w:t>
      </w:r>
    </w:p>
    <w:p w14:paraId="02ED294A">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eastAsia="方正楷体_GBK" w:cs="Times New Roman"/>
          <w:color w:val="000000" w:themeColor="text1"/>
          <w:sz w:val="32"/>
          <w:szCs w:val="32"/>
        </w:rPr>
        <w:t>（五）物业管理提优行动</w:t>
      </w:r>
    </w:p>
    <w:p w14:paraId="6F2FB7F6">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hAnsi="Times New Roman" w:eastAsia="方正仿宋_GBK" w:cs="Times New Roman"/>
          <w:b/>
          <w:color w:val="000000" w:themeColor="text1"/>
          <w:sz w:val="32"/>
          <w:szCs w:val="32"/>
        </w:rPr>
        <w:t>18.打造智慧物业。</w:t>
      </w:r>
      <w:r>
        <w:rPr>
          <w:rFonts w:ascii="Times New Roman" w:eastAsia="方正仿宋_GBK" w:cs="Times New Roman"/>
          <w:color w:val="000000" w:themeColor="text1"/>
          <w:sz w:val="32"/>
          <w:szCs w:val="32"/>
        </w:rPr>
        <w:t>上线</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姜将好</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物业管理平台，畅通业主、物业服务企业（项目）、职能部门线上沟通、问题反馈渠道，在</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亮牌</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行动基础上，将物业服务工作</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线下公示</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转为</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线上公示</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，实现</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服务透明、工作透明、收益透明</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，确保年内全区物业服务企业</w:t>
      </w:r>
      <w:r>
        <w:rPr>
          <w:rFonts w:hint="eastAsia" w:ascii="Times New Roman" w:eastAsia="方正仿宋_GBK" w:cs="Times New Roman"/>
          <w:color w:val="000000" w:themeColor="text1"/>
          <w:sz w:val="32"/>
          <w:szCs w:val="32"/>
        </w:rPr>
        <w:t>、业主委员会</w:t>
      </w:r>
      <w:r>
        <w:rPr>
          <w:rFonts w:ascii="Times New Roman" w:eastAsia="方正仿宋_GBK" w:cs="Times New Roman"/>
          <w:color w:val="000000" w:themeColor="text1"/>
          <w:sz w:val="32"/>
          <w:szCs w:val="32"/>
        </w:rPr>
        <w:t>基础信息录入率</w:t>
      </w:r>
      <w:r>
        <w:rPr>
          <w:rFonts w:hint="eastAsia" w:ascii="Times New Roman" w:eastAsia="方正仿宋_GBK" w:cs="Times New Roman"/>
          <w:color w:val="000000" w:themeColor="text1"/>
          <w:sz w:val="32"/>
          <w:szCs w:val="32"/>
        </w:rPr>
        <w:t>均</w:t>
      </w:r>
      <w:r>
        <w:rPr>
          <w:rFonts w:ascii="Times New Roman" w:eastAsia="方正仿宋_GBK" w:cs="Times New Roman"/>
          <w:color w:val="000000" w:themeColor="text1"/>
          <w:sz w:val="32"/>
          <w:szCs w:val="32"/>
        </w:rPr>
        <w:t>达</w:t>
      </w:r>
      <w:r>
        <w:rPr>
          <w:rFonts w:ascii="Times New Roman" w:hAnsi="Times New Roman" w:eastAsia="方正仿宋_GBK" w:cs="Times New Roman"/>
          <w:color w:val="000000" w:themeColor="text1"/>
          <w:sz w:val="32"/>
          <w:szCs w:val="32"/>
        </w:rPr>
        <w:t>100%</w:t>
      </w:r>
      <w:r>
        <w:rPr>
          <w:rFonts w:ascii="Times New Roman" w:eastAsia="方正仿宋_GBK" w:cs="Times New Roman"/>
          <w:color w:val="000000" w:themeColor="text1"/>
          <w:sz w:val="32"/>
          <w:szCs w:val="32"/>
        </w:rPr>
        <w:t>，物业服务项目</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人、财、事</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信息录入率达</w:t>
      </w:r>
      <w:r>
        <w:rPr>
          <w:rFonts w:ascii="Times New Roman" w:hAnsi="Times New Roman" w:eastAsia="方正仿宋_GBK" w:cs="Times New Roman"/>
          <w:color w:val="000000" w:themeColor="text1"/>
          <w:sz w:val="32"/>
          <w:szCs w:val="32"/>
        </w:rPr>
        <w:t>80%</w:t>
      </w:r>
      <w:r>
        <w:rPr>
          <w:rFonts w:ascii="Times New Roman" w:eastAsia="方正仿宋_GBK" w:cs="Times New Roman"/>
          <w:color w:val="000000" w:themeColor="text1"/>
          <w:sz w:val="32"/>
          <w:szCs w:val="32"/>
        </w:rPr>
        <w:t>。</w:t>
      </w:r>
      <w:r>
        <w:rPr>
          <w:rFonts w:hint="eastAsia" w:ascii="Times New Roman" w:eastAsia="方正仿宋_GBK" w:cs="Times New Roman"/>
          <w:color w:val="000000" w:themeColor="text1"/>
          <w:sz w:val="32"/>
          <w:szCs w:val="32"/>
        </w:rPr>
        <w:t>打造</w:t>
      </w:r>
      <w:r>
        <w:rPr>
          <w:rFonts w:ascii="Times New Roman" w:eastAsia="方正仿宋_GBK" w:cs="Times New Roman"/>
          <w:color w:val="000000" w:themeColor="text1"/>
          <w:sz w:val="32"/>
          <w:szCs w:val="32"/>
        </w:rPr>
        <w:t>东方巴黎城、中天御苑、帝景蓝湾</w:t>
      </w:r>
      <w:r>
        <w:rPr>
          <w:rFonts w:hint="eastAsia" w:ascii="Times New Roman" w:eastAsia="方正仿宋_GBK" w:cs="Times New Roman"/>
          <w:color w:val="000000" w:themeColor="text1"/>
          <w:sz w:val="32"/>
          <w:szCs w:val="32"/>
        </w:rPr>
        <w:t>三个</w:t>
      </w:r>
      <w:r>
        <w:rPr>
          <w:rFonts w:ascii="Times New Roman" w:eastAsia="方正仿宋_GBK" w:cs="Times New Roman"/>
          <w:color w:val="000000" w:themeColor="text1"/>
          <w:sz w:val="32"/>
          <w:szCs w:val="32"/>
        </w:rPr>
        <w:t>智慧物业</w:t>
      </w:r>
      <w:r>
        <w:rPr>
          <w:rFonts w:hint="eastAsia" w:ascii="Times New Roman" w:eastAsia="方正仿宋_GBK" w:cs="Times New Roman"/>
          <w:color w:val="000000" w:themeColor="text1"/>
          <w:sz w:val="32"/>
          <w:szCs w:val="32"/>
        </w:rPr>
        <w:t>样板</w:t>
      </w:r>
      <w:r>
        <w:rPr>
          <w:rFonts w:ascii="Times New Roman" w:eastAsia="方正仿宋_GBK" w:cs="Times New Roman"/>
          <w:color w:val="000000" w:themeColor="text1"/>
          <w:sz w:val="32"/>
          <w:szCs w:val="32"/>
        </w:rPr>
        <w:t>小区。</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单位：区住建局</w:t>
      </w:r>
      <w:r>
        <w:rPr>
          <w:rFonts w:hint="eastAsia" w:ascii="Times New Roman" w:eastAsia="方正楷体_GBK" w:cs="Times New Roman"/>
          <w:color w:val="000000" w:themeColor="text1"/>
          <w:sz w:val="32"/>
          <w:szCs w:val="32"/>
        </w:rPr>
        <w:t>、</w:t>
      </w:r>
      <w:r>
        <w:rPr>
          <w:rFonts w:ascii="Times New Roman" w:eastAsia="方正楷体_GBK" w:cs="Times New Roman"/>
          <w:color w:val="000000" w:themeColor="text1"/>
          <w:sz w:val="32"/>
          <w:szCs w:val="32"/>
        </w:rPr>
        <w:t>区数据局、三水街道、罗塘街道、天目山街道）</w:t>
      </w:r>
    </w:p>
    <w:p w14:paraId="6F78DADF">
      <w:pPr>
        <w:widowControl w:val="0"/>
        <w:kinsoku/>
        <w:overflowPunct w:val="0"/>
        <w:spacing w:line="620" w:lineRule="exact"/>
        <w:ind w:firstLine="640" w:firstLineChars="200"/>
        <w:jc w:val="both"/>
        <w:rPr>
          <w:rFonts w:ascii="Times New Roman" w:hAnsi="Times New Roman" w:eastAsia="方正仿宋_GBK" w:cs="Times New Roman"/>
          <w:b/>
          <w:color w:val="000000" w:themeColor="text1"/>
          <w:sz w:val="32"/>
          <w:szCs w:val="32"/>
        </w:rPr>
      </w:pPr>
      <w:r>
        <w:rPr>
          <w:rFonts w:ascii="Times New Roman" w:hAnsi="Times New Roman" w:eastAsia="方正仿宋_GBK" w:cs="Times New Roman"/>
          <w:b/>
          <w:color w:val="000000" w:themeColor="text1"/>
          <w:sz w:val="32"/>
          <w:szCs w:val="32"/>
        </w:rPr>
        <w:t>19.打造红色物业。</w:t>
      </w:r>
      <w:r>
        <w:rPr>
          <w:rFonts w:ascii="Times New Roman" w:eastAsia="方正仿宋_GBK" w:cs="Times New Roman"/>
          <w:color w:val="000000" w:themeColor="text1"/>
          <w:sz w:val="32"/>
          <w:szCs w:val="32"/>
        </w:rPr>
        <w:t>制定出台《姜堰区党建引领物业服务提质增效工作方案》，加强社区党组织对物业服务企业、业主委员会的组织引领，推动完善党组织领导下的社区居民委员会、业主委员会、物业服务企业三方联动机制建设，年内打造</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红色物业</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示范点</w:t>
      </w:r>
      <w:r>
        <w:rPr>
          <w:rFonts w:ascii="Times New Roman" w:hAnsi="Times New Roman" w:eastAsia="方正仿宋_GBK" w:cs="Times New Roman"/>
          <w:color w:val="000000" w:themeColor="text1"/>
          <w:sz w:val="32"/>
          <w:szCs w:val="32"/>
        </w:rPr>
        <w:t>3</w:t>
      </w:r>
      <w:r>
        <w:rPr>
          <w:rFonts w:ascii="Times New Roman" w:eastAsia="方正仿宋_GBK" w:cs="Times New Roman"/>
          <w:color w:val="000000" w:themeColor="text1"/>
          <w:sz w:val="32"/>
          <w:szCs w:val="32"/>
        </w:rPr>
        <w:t>个，通过示范引领，推动物业管理加速融入基层社会治理体系。</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单位：区住建局、区委组织部、区委社会工作部</w:t>
      </w:r>
      <w:r>
        <w:rPr>
          <w:rFonts w:hint="eastAsia" w:ascii="Times New Roman" w:eastAsia="方正楷体_GBK" w:cs="Times New Roman"/>
          <w:color w:val="000000" w:themeColor="text1"/>
          <w:sz w:val="32"/>
          <w:szCs w:val="32"/>
        </w:rPr>
        <w:t>、</w:t>
      </w:r>
      <w:r>
        <w:rPr>
          <w:rFonts w:ascii="Times New Roman" w:eastAsia="方正楷体_GBK" w:cs="Times New Roman"/>
          <w:color w:val="000000" w:themeColor="text1"/>
          <w:sz w:val="32"/>
          <w:szCs w:val="32"/>
        </w:rPr>
        <w:t>各镇街）</w:t>
      </w:r>
    </w:p>
    <w:p w14:paraId="1D24415C">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hAnsi="Times New Roman" w:eastAsia="方正仿宋_GBK" w:cs="Times New Roman"/>
          <w:b/>
          <w:color w:val="000000" w:themeColor="text1"/>
          <w:sz w:val="32"/>
          <w:szCs w:val="32"/>
        </w:rPr>
        <w:t>20.打造品质物业。</w:t>
      </w:r>
      <w:r>
        <w:rPr>
          <w:rFonts w:ascii="Times New Roman" w:eastAsia="方正仿宋_GBK" w:cs="Times New Roman"/>
          <w:color w:val="000000" w:themeColor="text1"/>
          <w:sz w:val="32"/>
          <w:szCs w:val="32"/>
        </w:rPr>
        <w:t>完善与更高品质住宅相适应的物业服务标准，积极引入全省</w:t>
      </w:r>
      <w:r>
        <w:rPr>
          <w:rFonts w:ascii="Times New Roman" w:hAnsi="Times New Roman" w:eastAsia="方正仿宋_GBK" w:cs="Times New Roman"/>
          <w:color w:val="000000" w:themeColor="text1"/>
          <w:sz w:val="32"/>
          <w:szCs w:val="32"/>
        </w:rPr>
        <w:t>50</w:t>
      </w:r>
      <w:r>
        <w:rPr>
          <w:rFonts w:ascii="Times New Roman" w:eastAsia="方正仿宋_GBK" w:cs="Times New Roman"/>
          <w:color w:val="000000" w:themeColor="text1"/>
          <w:sz w:val="32"/>
          <w:szCs w:val="32"/>
        </w:rPr>
        <w:t>强物业服务企业，逐步推动物业服务实现质价相符、优质优价；鼓励开发企业拓展物业服务内容，积极提供医养结合、居家养老、家政服务、住宅托管等物业增值服务；定期组织物业服务企业观摩学习示范项目，学习借鉴成功做法，推动全区物业服务行业从粗放型管理向精细化管理转变，年内</w:t>
      </w:r>
      <w:r>
        <w:rPr>
          <w:rFonts w:hint="eastAsia" w:ascii="Times New Roman" w:eastAsia="方正仿宋_GBK" w:cs="Times New Roman"/>
          <w:color w:val="000000" w:themeColor="text1"/>
          <w:sz w:val="32"/>
          <w:szCs w:val="32"/>
        </w:rPr>
        <w:t>打造</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美好家园</w:t>
      </w:r>
      <w:r>
        <w:rPr>
          <w:rFonts w:ascii="Times New Roman" w:hAnsi="Times New Roman" w:eastAsia="方正仿宋_GBK" w:cs="Times New Roman"/>
          <w:color w:val="000000" w:themeColor="text1"/>
          <w:sz w:val="32"/>
          <w:szCs w:val="32"/>
        </w:rPr>
        <w:t>”</w:t>
      </w:r>
      <w:r>
        <w:rPr>
          <w:rFonts w:hint="eastAsia" w:ascii="Times New Roman" w:eastAsia="方正仿宋_GBK" w:cs="Times New Roman"/>
          <w:color w:val="000000" w:themeColor="text1"/>
          <w:sz w:val="32"/>
          <w:szCs w:val="32"/>
        </w:rPr>
        <w:t>样板</w:t>
      </w:r>
      <w:r>
        <w:rPr>
          <w:rFonts w:ascii="Times New Roman" w:eastAsia="方正仿宋_GBK" w:cs="Times New Roman"/>
          <w:color w:val="000000" w:themeColor="text1"/>
          <w:sz w:val="32"/>
          <w:szCs w:val="32"/>
        </w:rPr>
        <w:t>小区</w:t>
      </w:r>
      <w:r>
        <w:rPr>
          <w:rFonts w:ascii="Times New Roman" w:hAnsi="Times New Roman" w:eastAsia="方正仿宋_GBK" w:cs="Times New Roman"/>
          <w:color w:val="000000" w:themeColor="text1"/>
          <w:sz w:val="32"/>
          <w:szCs w:val="32"/>
        </w:rPr>
        <w:t>5</w:t>
      </w:r>
      <w:r>
        <w:rPr>
          <w:rFonts w:ascii="Times New Roman" w:eastAsia="方正仿宋_GBK" w:cs="Times New Roman"/>
          <w:color w:val="000000" w:themeColor="text1"/>
          <w:sz w:val="32"/>
          <w:szCs w:val="32"/>
        </w:rPr>
        <w:t>家。</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单位：区住建局</w:t>
      </w:r>
      <w:r>
        <w:rPr>
          <w:rFonts w:hint="eastAsia" w:ascii="Times New Roman" w:eastAsia="方正楷体_GBK" w:cs="Times New Roman"/>
          <w:color w:val="000000" w:themeColor="text1"/>
          <w:sz w:val="32"/>
          <w:szCs w:val="32"/>
        </w:rPr>
        <w:t>、</w:t>
      </w:r>
      <w:r>
        <w:rPr>
          <w:rFonts w:ascii="Times New Roman" w:eastAsia="方正楷体_GBK" w:cs="Times New Roman"/>
          <w:color w:val="000000" w:themeColor="text1"/>
          <w:sz w:val="32"/>
          <w:szCs w:val="32"/>
        </w:rPr>
        <w:t>各镇街）</w:t>
      </w:r>
    </w:p>
    <w:p w14:paraId="2C2B4F94">
      <w:pPr>
        <w:widowControl w:val="0"/>
        <w:kinsoku/>
        <w:overflowPunct w:val="0"/>
        <w:spacing w:line="620" w:lineRule="exact"/>
        <w:ind w:firstLine="640" w:firstLineChars="200"/>
        <w:jc w:val="both"/>
        <w:rPr>
          <w:rFonts w:ascii="Times New Roman" w:hAnsi="Times New Roman" w:eastAsia="方正楷体_GBK" w:cs="Times New Roman"/>
          <w:color w:val="000000" w:themeColor="text1"/>
          <w:sz w:val="32"/>
          <w:szCs w:val="32"/>
        </w:rPr>
      </w:pPr>
      <w:r>
        <w:rPr>
          <w:rFonts w:ascii="Times New Roman" w:eastAsia="方正楷体_GBK" w:cs="Times New Roman"/>
          <w:color w:val="000000" w:themeColor="text1"/>
          <w:sz w:val="32"/>
          <w:szCs w:val="32"/>
        </w:rPr>
        <w:t>（六）服务保障提效行动</w:t>
      </w:r>
    </w:p>
    <w:p w14:paraId="57A1F965">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color w:val="000000" w:themeColor="text1"/>
          <w:sz w:val="32"/>
          <w:szCs w:val="32"/>
        </w:rPr>
        <w:t>21.</w:t>
      </w:r>
      <w:r>
        <w:rPr>
          <w:rFonts w:ascii="Times New Roman" w:eastAsia="方正仿宋_GBK" w:cs="Times New Roman"/>
          <w:b/>
          <w:color w:val="000000" w:themeColor="text1"/>
          <w:sz w:val="32"/>
          <w:szCs w:val="32"/>
        </w:rPr>
        <w:t>推动城市管理制度化。</w:t>
      </w:r>
      <w:r>
        <w:rPr>
          <w:rFonts w:ascii="Times New Roman" w:eastAsia="方正仿宋_GBK" w:cs="Times New Roman"/>
          <w:color w:val="000000" w:themeColor="text1"/>
          <w:sz w:val="32"/>
          <w:szCs w:val="32"/>
        </w:rPr>
        <w:t>纵深推进城市管理执法重心下移改革，健全</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镇街吹哨、部门报到</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工作机制，推动资源下沉、服务前移、治理提效，年内打造</w:t>
      </w:r>
      <w:r>
        <w:rPr>
          <w:rFonts w:ascii="Times New Roman" w:hAnsi="Times New Roman" w:eastAsia="方正仿宋_GBK" w:cs="Times New Roman"/>
          <w:color w:val="000000" w:themeColor="text1"/>
          <w:sz w:val="32"/>
          <w:szCs w:val="32"/>
        </w:rPr>
        <w:t>1</w:t>
      </w:r>
      <w:r>
        <w:rPr>
          <w:rFonts w:ascii="Times New Roman" w:eastAsia="方正仿宋_GBK" w:cs="Times New Roman"/>
          <w:color w:val="000000" w:themeColor="text1"/>
          <w:sz w:val="32"/>
          <w:szCs w:val="32"/>
        </w:rPr>
        <w:t>个城市管理执法重心下移模范街道；探索构建主体明晰、权责明确、协调有力、运转高效的</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大城管</w:t>
      </w:r>
      <w:r>
        <w:rPr>
          <w:rFonts w:ascii="Times New Roman" w:hAnsi="Times New Roman" w:eastAsia="方正仿宋_GBK" w:cs="Times New Roman"/>
          <w:color w:val="000000" w:themeColor="text1"/>
          <w:sz w:val="32"/>
          <w:szCs w:val="32"/>
        </w:rPr>
        <w:t>”</w:t>
      </w:r>
      <w:r>
        <w:rPr>
          <w:rFonts w:ascii="Times New Roman" w:eastAsia="方正仿宋_GBK" w:cs="Times New Roman"/>
          <w:color w:val="000000" w:themeColor="text1"/>
          <w:sz w:val="32"/>
          <w:szCs w:val="32"/>
        </w:rPr>
        <w:t>工作体系，有效发挥高位统筹协调作用，以创新的管理模式促进全区城市管理高质量发展。</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单位：区城管局</w:t>
      </w:r>
      <w:r>
        <w:rPr>
          <w:rFonts w:hint="eastAsia" w:ascii="Times New Roman" w:eastAsia="方正楷体_GBK" w:cs="Times New Roman"/>
          <w:color w:val="000000" w:themeColor="text1"/>
          <w:sz w:val="32"/>
          <w:szCs w:val="32"/>
        </w:rPr>
        <w:t>、</w:t>
      </w:r>
      <w:r>
        <w:rPr>
          <w:rFonts w:ascii="Times New Roman" w:eastAsia="方正楷体_GBK" w:cs="Times New Roman"/>
          <w:color w:val="000000" w:themeColor="text1"/>
          <w:sz w:val="32"/>
          <w:szCs w:val="32"/>
        </w:rPr>
        <w:t>各镇街）</w:t>
      </w:r>
    </w:p>
    <w:p w14:paraId="355DEFAB">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color w:val="000000" w:themeColor="text1"/>
          <w:sz w:val="32"/>
          <w:szCs w:val="32"/>
        </w:rPr>
        <w:t>22.</w:t>
      </w:r>
      <w:r>
        <w:rPr>
          <w:rFonts w:ascii="Times New Roman" w:eastAsia="方正仿宋_GBK" w:cs="Times New Roman"/>
          <w:b/>
          <w:color w:val="000000" w:themeColor="text1"/>
          <w:sz w:val="32"/>
          <w:szCs w:val="32"/>
        </w:rPr>
        <w:t>推动城市管理法治化。</w:t>
      </w:r>
      <w:r>
        <w:rPr>
          <w:rFonts w:ascii="Times New Roman" w:hAnsi="Times New Roman" w:eastAsia="方正仿宋_GBK" w:cs="Times New Roman"/>
          <w:color w:val="000000" w:themeColor="text1"/>
          <w:sz w:val="32"/>
          <w:szCs w:val="32"/>
        </w:rPr>
        <w:t>聚焦“执法行为规范化、监督考评系统化、队伍建设长效化”目标，深入开展城管领域执法规范化建设，推进城管执法全过程记录、重大执法决定法制审核、公示制度和执法监督，完善落实长效监督机制；</w:t>
      </w:r>
      <w:r>
        <w:rPr>
          <w:rFonts w:hint="eastAsia" w:ascii="Times New Roman" w:hAnsi="Times New Roman" w:eastAsia="方正仿宋_GBK" w:cs="Times New Roman"/>
          <w:color w:val="000000" w:themeColor="text1"/>
          <w:sz w:val="32"/>
          <w:szCs w:val="32"/>
        </w:rPr>
        <w:t>修订完善</w:t>
      </w:r>
      <w:r>
        <w:rPr>
          <w:rFonts w:ascii="Times New Roman" w:hAnsi="Times New Roman" w:eastAsia="方正仿宋_GBK" w:cs="Times New Roman"/>
          <w:color w:val="000000" w:themeColor="text1"/>
          <w:sz w:val="32"/>
          <w:szCs w:val="32"/>
        </w:rPr>
        <w:t>城市管理领域轻微违法行为免罚清单，推行首违不罚、轻微免罚、承诺轻罚，做到宽严相济、法理相融，让执法有力度更有温度。</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单位：区城管局</w:t>
      </w:r>
      <w:r>
        <w:rPr>
          <w:rFonts w:hint="eastAsia" w:ascii="Times New Roman" w:eastAsia="方正楷体_GBK" w:cs="Times New Roman"/>
          <w:color w:val="000000" w:themeColor="text1"/>
          <w:sz w:val="32"/>
          <w:szCs w:val="32"/>
        </w:rPr>
        <w:t>、区司法局、</w:t>
      </w:r>
      <w:r>
        <w:rPr>
          <w:rFonts w:ascii="Times New Roman" w:eastAsia="方正楷体_GBK" w:cs="Times New Roman"/>
          <w:color w:val="000000" w:themeColor="text1"/>
          <w:sz w:val="32"/>
          <w:szCs w:val="32"/>
        </w:rPr>
        <w:t>各镇街）</w:t>
      </w:r>
    </w:p>
    <w:p w14:paraId="0FCC75CF">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color w:val="000000" w:themeColor="text1"/>
          <w:sz w:val="32"/>
          <w:szCs w:val="32"/>
        </w:rPr>
        <w:t>23.</w:t>
      </w:r>
      <w:r>
        <w:rPr>
          <w:rFonts w:ascii="Times New Roman" w:eastAsia="方正仿宋_GBK" w:cs="Times New Roman"/>
          <w:b/>
          <w:color w:val="000000" w:themeColor="text1"/>
          <w:sz w:val="32"/>
          <w:szCs w:val="32"/>
        </w:rPr>
        <w:t>推动城市管理智慧化。</w:t>
      </w:r>
      <w:r>
        <w:rPr>
          <w:rFonts w:ascii="Times New Roman" w:hAnsi="Times New Roman" w:eastAsia="方正仿宋_GBK" w:cs="Times New Roman"/>
          <w:color w:val="000000" w:themeColor="text1"/>
          <w:sz w:val="32"/>
          <w:szCs w:val="32"/>
        </w:rPr>
        <w:t>大力推行数字化城管平台联动工作机制，构建“沟通快捷、责任到位、处置及时、运转高效”的平台运行模式，推动问题发现前移、业务流程优化、多方协同联动、问题处置增效；加强高空视频、智能视频、物联感知设备及区块链等技术、设备在市政公用、园林绿化、市容环卫、物业管理等行业的应用，实现对城市管理实时、立体的精准感知，</w:t>
      </w:r>
      <w:r>
        <w:rPr>
          <w:rFonts w:hint="eastAsia" w:ascii="Times New Roman" w:hAnsi="Times New Roman" w:eastAsia="方正仿宋_GBK" w:cs="Times New Roman"/>
          <w:color w:val="000000" w:themeColor="text1"/>
          <w:sz w:val="32"/>
          <w:szCs w:val="32"/>
        </w:rPr>
        <w:t>以智慧治理赋能城市高质量发展</w:t>
      </w:r>
      <w:r>
        <w:rPr>
          <w:rFonts w:ascii="Times New Roman" w:hAnsi="Times New Roman" w:eastAsia="方正仿宋_GBK" w:cs="Times New Roman"/>
          <w:color w:val="000000" w:themeColor="text1"/>
          <w:sz w:val="32"/>
          <w:szCs w:val="32"/>
        </w:rPr>
        <w:t>。</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单位：区数据局、区城管局</w:t>
      </w:r>
      <w:r>
        <w:rPr>
          <w:rFonts w:hint="eastAsia" w:ascii="Times New Roman" w:eastAsia="方正楷体_GBK" w:cs="Times New Roman"/>
          <w:color w:val="000000" w:themeColor="text1"/>
          <w:sz w:val="32"/>
          <w:szCs w:val="32"/>
        </w:rPr>
        <w:t>、</w:t>
      </w:r>
      <w:r>
        <w:rPr>
          <w:rFonts w:ascii="Times New Roman" w:eastAsia="方正楷体_GBK" w:cs="Times New Roman"/>
          <w:color w:val="000000" w:themeColor="text1"/>
          <w:sz w:val="32"/>
          <w:szCs w:val="32"/>
        </w:rPr>
        <w:t>区住建局、各镇街）</w:t>
      </w:r>
    </w:p>
    <w:p w14:paraId="65BA42F6">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color w:val="000000" w:themeColor="text1"/>
          <w:sz w:val="32"/>
          <w:szCs w:val="32"/>
        </w:rPr>
        <w:t>24.</w:t>
      </w:r>
      <w:r>
        <w:rPr>
          <w:rFonts w:ascii="Times New Roman" w:eastAsia="方正仿宋_GBK" w:cs="Times New Roman"/>
          <w:b/>
          <w:color w:val="000000" w:themeColor="text1"/>
          <w:sz w:val="32"/>
          <w:szCs w:val="32"/>
        </w:rPr>
        <w:t>推动城市管理社会化。</w:t>
      </w:r>
      <w:r>
        <w:rPr>
          <w:rFonts w:ascii="Times New Roman" w:hAnsi="Times New Roman" w:eastAsia="方正仿宋_GBK" w:cs="Times New Roman"/>
          <w:color w:val="000000" w:themeColor="text1"/>
          <w:sz w:val="32"/>
          <w:szCs w:val="32"/>
        </w:rPr>
        <w:t>畅通公众参与城市管理渠道，围绕城市管理突出问题和重大事项，开展社会公众共商共议活动，健全城市管理公众评价机制，完善公众意见采纳情况反馈机制，不断凝聚社会共识；拓展城管“流动哨”参与范围，将社区网格员、志愿者、新就业群体纳入“流动哨兵”，及时发现收集各类城市管理问题，反馈民情民意；定期开展“城管开放日” “城管进社区”等活动，扩大城市管理朋友圈，全力打造共建、共治、共享的“全民城管”“全民治理”新格局。</w:t>
      </w:r>
      <w:r>
        <w:rPr>
          <w:rFonts w:ascii="Times New Roman" w:eastAsia="方正楷体_GBK" w:cs="Times New Roman"/>
          <w:color w:val="000000" w:themeColor="text1"/>
          <w:sz w:val="32"/>
          <w:szCs w:val="32"/>
        </w:rPr>
        <w:t>（</w:t>
      </w:r>
      <w:r>
        <w:rPr>
          <w:rFonts w:hint="eastAsia" w:ascii="Times New Roman" w:eastAsia="方正楷体_GBK" w:cs="Times New Roman"/>
          <w:color w:val="000000" w:themeColor="text1"/>
          <w:sz w:val="32"/>
          <w:szCs w:val="32"/>
        </w:rPr>
        <w:t>责任</w:t>
      </w:r>
      <w:r>
        <w:rPr>
          <w:rFonts w:ascii="Times New Roman" w:eastAsia="方正楷体_GBK" w:cs="Times New Roman"/>
          <w:color w:val="000000" w:themeColor="text1"/>
          <w:sz w:val="32"/>
          <w:szCs w:val="32"/>
        </w:rPr>
        <w:t>单位：区城管局</w:t>
      </w:r>
      <w:r>
        <w:rPr>
          <w:rFonts w:hint="eastAsia" w:ascii="Times New Roman" w:eastAsia="方正楷体_GBK" w:cs="Times New Roman"/>
          <w:color w:val="000000" w:themeColor="text1"/>
          <w:sz w:val="32"/>
          <w:szCs w:val="32"/>
        </w:rPr>
        <w:t>、</w:t>
      </w:r>
      <w:r>
        <w:rPr>
          <w:rFonts w:ascii="Times New Roman" w:eastAsia="方正楷体_GBK" w:cs="Times New Roman"/>
          <w:color w:val="000000" w:themeColor="text1"/>
          <w:sz w:val="32"/>
          <w:szCs w:val="32"/>
        </w:rPr>
        <w:t>区委宣传部、区委社会工作部、各镇街）</w:t>
      </w:r>
    </w:p>
    <w:p w14:paraId="5358400C">
      <w:pPr>
        <w:widowControl w:val="0"/>
        <w:kinsoku/>
        <w:overflowPunct w:val="0"/>
        <w:spacing w:line="620" w:lineRule="exact"/>
        <w:ind w:firstLine="640" w:firstLineChars="200"/>
        <w:jc w:val="both"/>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四、工作要求</w:t>
      </w:r>
    </w:p>
    <w:p w14:paraId="60B88DAC">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（一）统一思想，提高认识。</w:t>
      </w:r>
      <w:r>
        <w:rPr>
          <w:rFonts w:ascii="Times New Roman" w:hAnsi="Times New Roman" w:eastAsia="方正仿宋_GBK" w:cs="Times New Roman"/>
          <w:color w:val="000000" w:themeColor="text1"/>
          <w:sz w:val="32"/>
          <w:szCs w:val="32"/>
        </w:rPr>
        <w:t>推进城市精细化</w:t>
      </w:r>
      <w:r>
        <w:rPr>
          <w:rFonts w:hint="eastAsia" w:ascii="Times New Roman" w:hAnsi="Times New Roman" w:eastAsia="方正仿宋_GBK" w:cs="Times New Roman"/>
          <w:color w:val="000000" w:themeColor="text1"/>
          <w:sz w:val="32"/>
          <w:szCs w:val="32"/>
        </w:rPr>
        <w:t>建设</w:t>
      </w:r>
      <w:r>
        <w:rPr>
          <w:rFonts w:ascii="Times New Roman" w:hAnsi="Times New Roman" w:eastAsia="方正仿宋_GBK" w:cs="Times New Roman"/>
          <w:color w:val="000000" w:themeColor="text1"/>
          <w:sz w:val="32"/>
          <w:szCs w:val="32"/>
        </w:rPr>
        <w:t>管理是深入贯彻落实习近平总书记关于城市管理的重要论述的具体体现，更是解决人民群众最关心最直接最现实利益问题的重要途径。各镇街、各有关部门要充分认识城市精细化</w:t>
      </w:r>
      <w:r>
        <w:rPr>
          <w:rFonts w:hint="eastAsia" w:ascii="Times New Roman" w:hAnsi="Times New Roman" w:eastAsia="方正仿宋_GBK" w:cs="Times New Roman"/>
          <w:color w:val="000000" w:themeColor="text1"/>
          <w:sz w:val="32"/>
          <w:szCs w:val="32"/>
        </w:rPr>
        <w:t>建设</w:t>
      </w:r>
      <w:r>
        <w:rPr>
          <w:rFonts w:ascii="Times New Roman" w:hAnsi="Times New Roman" w:eastAsia="方正仿宋_GBK" w:cs="Times New Roman"/>
          <w:color w:val="000000" w:themeColor="text1"/>
          <w:sz w:val="32"/>
          <w:szCs w:val="32"/>
        </w:rPr>
        <w:t>管理的重大意义，切实把思想和行动统一到精细化</w:t>
      </w:r>
      <w:r>
        <w:rPr>
          <w:rFonts w:hint="eastAsia" w:ascii="Times New Roman" w:hAnsi="Times New Roman" w:eastAsia="方正仿宋_GBK" w:cs="Times New Roman"/>
          <w:color w:val="000000" w:themeColor="text1"/>
          <w:sz w:val="32"/>
          <w:szCs w:val="32"/>
        </w:rPr>
        <w:t>建设</w:t>
      </w:r>
      <w:r>
        <w:rPr>
          <w:rFonts w:ascii="Times New Roman" w:hAnsi="Times New Roman" w:eastAsia="方正仿宋_GBK" w:cs="Times New Roman"/>
          <w:color w:val="000000" w:themeColor="text1"/>
          <w:sz w:val="32"/>
          <w:szCs w:val="32"/>
        </w:rPr>
        <w:t>管理标准要求上来，高起点谋划、高标准推进、高质量落实。</w:t>
      </w:r>
    </w:p>
    <w:p w14:paraId="6D658461">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（二）完善机制，勇于探索。</w:t>
      </w:r>
      <w:r>
        <w:rPr>
          <w:rFonts w:ascii="Times New Roman" w:hAnsi="Times New Roman" w:eastAsia="方正仿宋_GBK" w:cs="Times New Roman"/>
          <w:color w:val="000000" w:themeColor="text1"/>
          <w:sz w:val="32"/>
          <w:szCs w:val="32"/>
        </w:rPr>
        <w:t>各镇街、各有关部门要对照城市精细化</w:t>
      </w:r>
      <w:r>
        <w:rPr>
          <w:rFonts w:hint="eastAsia" w:ascii="Times New Roman" w:hAnsi="Times New Roman" w:eastAsia="方正仿宋_GBK" w:cs="Times New Roman"/>
          <w:color w:val="000000" w:themeColor="text1"/>
          <w:sz w:val="32"/>
          <w:szCs w:val="32"/>
        </w:rPr>
        <w:t>建设</w:t>
      </w:r>
      <w:r>
        <w:rPr>
          <w:rFonts w:ascii="Times New Roman" w:hAnsi="Times New Roman" w:eastAsia="方正仿宋_GBK" w:cs="Times New Roman"/>
          <w:color w:val="000000" w:themeColor="text1"/>
          <w:sz w:val="32"/>
          <w:szCs w:val="32"/>
        </w:rPr>
        <w:t>管理“六大行动”内容，明确目标任务，明晰工作责任，建立主要负责同志亲自抓、分管负责同志具体抓的调度推进机制，确保各项工作任务按节点高效能完成。要坚持系统思维、创新思维、群众思维，优化城市管理方法、手段、模式，积极探索遵循规律特点、体现特色风貌、彰显民生情怀的城市精细化</w:t>
      </w:r>
      <w:r>
        <w:rPr>
          <w:rFonts w:hint="eastAsia" w:ascii="Times New Roman" w:hAnsi="Times New Roman" w:eastAsia="方正仿宋_GBK" w:cs="Times New Roman"/>
          <w:color w:val="000000" w:themeColor="text1"/>
          <w:sz w:val="32"/>
          <w:szCs w:val="32"/>
        </w:rPr>
        <w:t>建设</w:t>
      </w:r>
      <w:r>
        <w:rPr>
          <w:rFonts w:ascii="Times New Roman" w:hAnsi="Times New Roman" w:eastAsia="方正仿宋_GBK" w:cs="Times New Roman"/>
          <w:color w:val="000000" w:themeColor="text1"/>
          <w:sz w:val="32"/>
          <w:szCs w:val="32"/>
        </w:rPr>
        <w:t>管理新路径。</w:t>
      </w:r>
    </w:p>
    <w:p w14:paraId="57C86BD1">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（三）密切配合，协同联动。</w:t>
      </w:r>
      <w:r>
        <w:rPr>
          <w:rFonts w:ascii="Times New Roman" w:hAnsi="Times New Roman" w:eastAsia="方正仿宋_GBK" w:cs="Times New Roman"/>
          <w:color w:val="000000" w:themeColor="text1"/>
          <w:sz w:val="32"/>
          <w:szCs w:val="32"/>
        </w:rPr>
        <w:t>各镇街、各有关部门既要各司其责，又要协同作战，形成条块结合、以块为主、齐抓共管、共同缔造的管理工作体系。要强化联合执法，推行违法行为追溯机制，及时处置违法行为。要坚持建管并重，疏堵结合，聚焦群众“急难愁盼”，在服务中管理、在管理中服务，全力打造群众满意的民心工程、民生工程。</w:t>
      </w:r>
    </w:p>
    <w:p w14:paraId="26B06D53">
      <w:pPr>
        <w:widowControl w:val="0"/>
        <w:kinsoku/>
        <w:overflowPunct w:val="0"/>
        <w:spacing w:line="62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（四）注重宣传，营造氛围。</w:t>
      </w:r>
      <w:r>
        <w:rPr>
          <w:rFonts w:ascii="Times New Roman" w:hAnsi="Times New Roman" w:eastAsia="方正仿宋_GBK" w:cs="Times New Roman"/>
          <w:color w:val="000000" w:themeColor="text1"/>
          <w:sz w:val="32"/>
          <w:szCs w:val="32"/>
        </w:rPr>
        <w:t>充分运用报纸、广播、电视、微信公众号等多种载体，多角度、多形式开展宣传教育，既要正面宣传推进精细化</w:t>
      </w:r>
      <w:r>
        <w:rPr>
          <w:rFonts w:hint="eastAsia" w:ascii="Times New Roman" w:hAnsi="Times New Roman" w:eastAsia="方正仿宋_GBK" w:cs="Times New Roman"/>
          <w:color w:val="000000" w:themeColor="text1"/>
          <w:sz w:val="32"/>
          <w:szCs w:val="32"/>
        </w:rPr>
        <w:t>建设</w:t>
      </w:r>
      <w:r>
        <w:rPr>
          <w:rFonts w:ascii="Times New Roman" w:hAnsi="Times New Roman" w:eastAsia="方正仿宋_GBK" w:cs="Times New Roman"/>
          <w:color w:val="000000" w:themeColor="text1"/>
          <w:sz w:val="32"/>
          <w:szCs w:val="32"/>
        </w:rPr>
        <w:t>管理典型做法、经验成效、特色亮点，还要曝光不整洁区域、不精细点位、不文明行为、不达标问题，不断增强激励和警示作用。鼓励市民群众监督反映市容秩序、环境卫生等问题，拓展公众广泛参与机制，营造城市乱象“大家找、大家拍、大家评”的社会氛围。</w:t>
      </w:r>
    </w:p>
    <w:p w14:paraId="6BCB6622">
      <w:pPr>
        <w:widowControl w:val="0"/>
        <w:kinsoku/>
        <w:overflowPunct w:val="0"/>
        <w:spacing w:line="620" w:lineRule="exact"/>
        <w:ind w:firstLine="640" w:firstLineChars="200"/>
        <w:jc w:val="both"/>
        <w:rPr>
          <w:rFonts w:ascii="方正仿宋_GBK" w:eastAsia="方正仿宋_GBK"/>
          <w:sz w:val="32"/>
          <w:szCs w:val="32"/>
        </w:rPr>
      </w:pPr>
    </w:p>
    <w:sectPr>
      <w:headerReference r:id="rId4" w:type="first"/>
      <w:footerReference r:id="rId7" w:type="first"/>
      <w:headerReference r:id="rId3" w:type="default"/>
      <w:footerReference r:id="rId5" w:type="default"/>
      <w:footerReference r:id="rId6" w:type="even"/>
      <w:pgSz w:w="11906" w:h="16838"/>
      <w:pgMar w:top="1474" w:right="1247" w:bottom="1361" w:left="1474" w:header="720" w:footer="1077" w:gutter="0"/>
      <w:pgNumType w:fmt="numberInDash" w:start="1"/>
      <w:cols w:space="0" w:num="1"/>
      <w:titlePg/>
      <w:docGrid w:type="linesAndChars" w:linePitch="590"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汉鼎简仿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鼎简大宋">
    <w:altName w:val="宋体"/>
    <w:panose1 w:val="00000000000000000000"/>
    <w:charset w:val="86"/>
    <w:family w:val="modern"/>
    <w:pitch w:val="default"/>
    <w:sig w:usb0="00000000" w:usb1="00000000" w:usb2="00000010" w:usb3="00000000" w:csb0="00040000" w:csb1="00000000"/>
  </w:font>
  <w:font w:name="汉鼎简楷体">
    <w:altName w:val="宋体"/>
    <w:panose1 w:val="00000000000000000000"/>
    <w:charset w:val="86"/>
    <w:family w:val="modern"/>
    <w:pitch w:val="default"/>
    <w:sig w:usb0="00000000" w:usb1="00000000" w:usb2="00000010" w:usb3="00000000" w:csb0="00040000" w:csb1="00000000"/>
  </w:font>
  <w:font w:name="Book Antiqua">
    <w:altName w:val="Segoe Print"/>
    <w:panose1 w:val="00000000000000000000"/>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汉鼎简黑体">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03A9">
    <w:pPr>
      <w:pStyle w:val="7"/>
      <w:spacing w:line="240"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213A56">
                          <w:pPr>
                            <w:pStyle w:val="7"/>
                            <w:spacing w:line="240" w:lineRule="exact"/>
                            <w:rPr>
                              <w:szCs w:val="28"/>
                            </w:rPr>
                          </w:pPr>
                          <w:r>
                            <w:rPr>
                              <w:rFonts w:ascii="Times New Roman" w:hAnsi="Times New Roman" w:cs="Times New Roman"/>
                              <w:szCs w:val="28"/>
                            </w:rPr>
                            <w:fldChar w:fldCharType="begin"/>
                          </w:r>
                          <w:r>
                            <w:rPr>
                              <w:rFonts w:ascii="Times New Roman" w:hAnsi="Times New Roman" w:cs="Times New Roman"/>
                              <w:szCs w:val="28"/>
                            </w:rPr>
                            <w:instrText xml:space="preserve"> PAGE  \* MERGEFORMAT </w:instrText>
                          </w:r>
                          <w:r>
                            <w:rPr>
                              <w:rFonts w:ascii="Times New Roman" w:hAnsi="Times New Roman" w:cs="Times New Roman"/>
                              <w:szCs w:val="28"/>
                            </w:rPr>
                            <w:fldChar w:fldCharType="separate"/>
                          </w:r>
                          <w:r>
                            <w:rPr>
                              <w:rFonts w:ascii="Times New Roman" w:hAnsi="Times New Roman" w:cs="Times New Roman"/>
                              <w:szCs w:val="28"/>
                            </w:rPr>
                            <w:t>- 8 -</w:t>
                          </w:r>
                          <w:r>
                            <w:rPr>
                              <w:rFonts w:ascii="Times New Roman" w:hAnsi="Times New Roman" w:cs="Times New Roman"/>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2213A56">
                    <w:pPr>
                      <w:pStyle w:val="7"/>
                      <w:spacing w:line="240" w:lineRule="exact"/>
                      <w:rPr>
                        <w:szCs w:val="28"/>
                      </w:rPr>
                    </w:pPr>
                    <w:r>
                      <w:rPr>
                        <w:rFonts w:ascii="Times New Roman" w:hAnsi="Times New Roman" w:cs="Times New Roman"/>
                        <w:szCs w:val="28"/>
                      </w:rPr>
                      <w:fldChar w:fldCharType="begin"/>
                    </w:r>
                    <w:r>
                      <w:rPr>
                        <w:rFonts w:ascii="Times New Roman" w:hAnsi="Times New Roman" w:cs="Times New Roman"/>
                        <w:szCs w:val="28"/>
                      </w:rPr>
                      <w:instrText xml:space="preserve"> PAGE  \* MERGEFORMAT </w:instrText>
                    </w:r>
                    <w:r>
                      <w:rPr>
                        <w:rFonts w:ascii="Times New Roman" w:hAnsi="Times New Roman" w:cs="Times New Roman"/>
                        <w:szCs w:val="28"/>
                      </w:rPr>
                      <w:fldChar w:fldCharType="separate"/>
                    </w:r>
                    <w:r>
                      <w:rPr>
                        <w:rFonts w:ascii="Times New Roman" w:hAnsi="Times New Roman" w:cs="Times New Roman"/>
                        <w:szCs w:val="28"/>
                      </w:rPr>
                      <w:t>- 8 -</w:t>
                    </w:r>
                    <w:r>
                      <w:rPr>
                        <w:rFonts w:ascii="Times New Roman" w:hAnsi="Times New Roman" w:cs="Times New Roman"/>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C7B5">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50077EFB">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F5BCA">
    <w:pPr>
      <w:pStyle w:val="7"/>
      <w:tabs>
        <w:tab w:val="left" w:pos="5247"/>
      </w:tabs>
      <w:jc w:val="lef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563915">
                          <w:pPr>
                            <w:pStyle w:val="7"/>
                            <w:rPr>
                              <w:rFonts w:ascii="方正仿宋_GBK" w:hAnsi="方正仿宋_GBK" w:eastAsia="方正仿宋_GBK" w:cs="方正仿宋_GBK"/>
                              <w:sz w:val="21"/>
                            </w:rPr>
                          </w:pPr>
                          <w:r>
                            <w:rPr>
                              <w:rFonts w:hint="eastAsia" w:ascii="方正仿宋_GBK" w:hAnsi="方正仿宋_GBK" w:eastAsia="方正仿宋_GBK" w:cs="方正仿宋_GBK"/>
                              <w:sz w:val="21"/>
                            </w:rPr>
                            <w:fldChar w:fldCharType="begin"/>
                          </w:r>
                          <w:r>
                            <w:rPr>
                              <w:rFonts w:hint="eastAsia" w:ascii="方正仿宋_GBK" w:hAnsi="方正仿宋_GBK" w:eastAsia="方正仿宋_GBK" w:cs="方正仿宋_GBK"/>
                              <w:sz w:val="21"/>
                            </w:rPr>
                            <w:instrText xml:space="preserve"> PAGE  \* MERGEFORMAT </w:instrText>
                          </w:r>
                          <w:r>
                            <w:rPr>
                              <w:rFonts w:hint="eastAsia" w:ascii="方正仿宋_GBK" w:hAnsi="方正仿宋_GBK" w:eastAsia="方正仿宋_GBK" w:cs="方正仿宋_GBK"/>
                              <w:sz w:val="21"/>
                            </w:rPr>
                            <w:fldChar w:fldCharType="separate"/>
                          </w:r>
                          <w:r>
                            <w:rPr>
                              <w:rFonts w:ascii="方正仿宋_GBK" w:hAnsi="方正仿宋_GBK" w:eastAsia="方正仿宋_GBK" w:cs="方正仿宋_GBK"/>
                              <w:sz w:val="21"/>
                            </w:rPr>
                            <w:t>- 1 -</w:t>
                          </w:r>
                          <w:r>
                            <w:rPr>
                              <w:rFonts w:hint="eastAsia" w:ascii="方正仿宋_GBK" w:hAnsi="方正仿宋_GBK" w:eastAsia="方正仿宋_GBK" w:cs="方正仿宋_GBK"/>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2563915">
                    <w:pPr>
                      <w:pStyle w:val="7"/>
                      <w:rPr>
                        <w:rFonts w:ascii="方正仿宋_GBK" w:hAnsi="方正仿宋_GBK" w:eastAsia="方正仿宋_GBK" w:cs="方正仿宋_GBK"/>
                        <w:sz w:val="21"/>
                      </w:rPr>
                    </w:pPr>
                    <w:r>
                      <w:rPr>
                        <w:rFonts w:hint="eastAsia" w:ascii="方正仿宋_GBK" w:hAnsi="方正仿宋_GBK" w:eastAsia="方正仿宋_GBK" w:cs="方正仿宋_GBK"/>
                        <w:sz w:val="21"/>
                      </w:rPr>
                      <w:fldChar w:fldCharType="begin"/>
                    </w:r>
                    <w:r>
                      <w:rPr>
                        <w:rFonts w:hint="eastAsia" w:ascii="方正仿宋_GBK" w:hAnsi="方正仿宋_GBK" w:eastAsia="方正仿宋_GBK" w:cs="方正仿宋_GBK"/>
                        <w:sz w:val="21"/>
                      </w:rPr>
                      <w:instrText xml:space="preserve"> PAGE  \* MERGEFORMAT </w:instrText>
                    </w:r>
                    <w:r>
                      <w:rPr>
                        <w:rFonts w:hint="eastAsia" w:ascii="方正仿宋_GBK" w:hAnsi="方正仿宋_GBK" w:eastAsia="方正仿宋_GBK" w:cs="方正仿宋_GBK"/>
                        <w:sz w:val="21"/>
                      </w:rPr>
                      <w:fldChar w:fldCharType="separate"/>
                    </w:r>
                    <w:r>
                      <w:rPr>
                        <w:rFonts w:ascii="方正仿宋_GBK" w:hAnsi="方正仿宋_GBK" w:eastAsia="方正仿宋_GBK" w:cs="方正仿宋_GBK"/>
                        <w:sz w:val="21"/>
                      </w:rPr>
                      <w:t>- 1 -</w:t>
                    </w:r>
                    <w:r>
                      <w:rPr>
                        <w:rFonts w:hint="eastAsia" w:ascii="方正仿宋_GBK" w:hAnsi="方正仿宋_GBK" w:eastAsia="方正仿宋_GBK" w:cs="方正仿宋_GBK"/>
                        <w:sz w:val="21"/>
                      </w:rP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8D83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E96D">
    <w:pPr>
      <w:pStyle w:val="8"/>
      <w:pBdr>
        <w:bottom w:val="none" w:color="auto" w:sz="0" w:space="0"/>
      </w:pBdr>
      <w:spacing w:line="500" w:lineRule="atLeast"/>
      <w:jc w:val="right"/>
      <w:rPr>
        <w:rFonts w:ascii="汉鼎简黑体" w:eastAsia="汉鼎简黑体"/>
        <w:sz w:val="32"/>
      </w:rPr>
    </w:pPr>
  </w:p>
  <w:p w14:paraId="55845DE7">
    <w:pPr>
      <w:pStyle w:val="8"/>
      <w:pBdr>
        <w:bottom w:val="none" w:color="auto" w:sz="0" w:space="0"/>
      </w:pBdr>
      <w:spacing w:line="500" w:lineRule="atLeast"/>
      <w:jc w:val="right"/>
      <w:rPr>
        <w:rFonts w:ascii="汉鼎简黑体" w:eastAsia="汉鼎简黑体"/>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2414B"/>
    <w:multiLevelType w:val="singleLevel"/>
    <w:tmpl w:val="6192414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5"/>
  <w:drawingGridHorizontalSpacing w:val="211"/>
  <w:drawingGridVerticalSpacing w:val="295"/>
  <w:displayHorizontalDrawingGridEvery w:val="0"/>
  <w:displayVerticalDrawingGridEvery w:val="2"/>
  <w:characterSpacingControl w:val="compressPunctuation"/>
  <w:noLineBreaksAfter w:lang="zh-CN" w:val="([{·‘“〈《「『【〔〖（．［｛￡￥"/>
  <w:noLineBreaksBefore w:lang="zh-CN" w:val="!),.:;?]}¨·ˇˉ―‖’”…∶、。〃々〉》」』】〕〗！＂％＇），．：；？］｀｜｝～￠"/>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Y2E4YjdmODU2OWY5ZTI5NjFlNzg2N2JmMTgwYjkifQ=="/>
  </w:docVars>
  <w:rsids>
    <w:rsidRoot w:val="00BD3C46"/>
    <w:rsid w:val="0002734E"/>
    <w:rsid w:val="000A314E"/>
    <w:rsid w:val="000E18E2"/>
    <w:rsid w:val="000E44A1"/>
    <w:rsid w:val="0015183B"/>
    <w:rsid w:val="001B406B"/>
    <w:rsid w:val="001C5BE1"/>
    <w:rsid w:val="001E1652"/>
    <w:rsid w:val="002650D3"/>
    <w:rsid w:val="00350D05"/>
    <w:rsid w:val="00360B19"/>
    <w:rsid w:val="003B03FC"/>
    <w:rsid w:val="004B1BBE"/>
    <w:rsid w:val="004E35BF"/>
    <w:rsid w:val="00506E91"/>
    <w:rsid w:val="00513EE2"/>
    <w:rsid w:val="00580B81"/>
    <w:rsid w:val="005A18F3"/>
    <w:rsid w:val="005B4714"/>
    <w:rsid w:val="006B4479"/>
    <w:rsid w:val="0078061A"/>
    <w:rsid w:val="008113F0"/>
    <w:rsid w:val="00920D0D"/>
    <w:rsid w:val="00924AC0"/>
    <w:rsid w:val="00A00714"/>
    <w:rsid w:val="00A44E92"/>
    <w:rsid w:val="00AA11F3"/>
    <w:rsid w:val="00AC0A2C"/>
    <w:rsid w:val="00B30684"/>
    <w:rsid w:val="00B545C9"/>
    <w:rsid w:val="00B73980"/>
    <w:rsid w:val="00B74818"/>
    <w:rsid w:val="00BD0799"/>
    <w:rsid w:val="00BD3C46"/>
    <w:rsid w:val="00BF7D25"/>
    <w:rsid w:val="00C31321"/>
    <w:rsid w:val="00C96F50"/>
    <w:rsid w:val="00CF79AA"/>
    <w:rsid w:val="00D11EC2"/>
    <w:rsid w:val="00D27414"/>
    <w:rsid w:val="00DA65A7"/>
    <w:rsid w:val="00EE3E75"/>
    <w:rsid w:val="00EF72CF"/>
    <w:rsid w:val="00F0372D"/>
    <w:rsid w:val="00F44537"/>
    <w:rsid w:val="00F457C2"/>
    <w:rsid w:val="00F576A6"/>
    <w:rsid w:val="02057BFE"/>
    <w:rsid w:val="049F1AC0"/>
    <w:rsid w:val="09D5642F"/>
    <w:rsid w:val="0A5D534E"/>
    <w:rsid w:val="0C437F80"/>
    <w:rsid w:val="0DBB3B97"/>
    <w:rsid w:val="127200F2"/>
    <w:rsid w:val="14D17B17"/>
    <w:rsid w:val="15EA64E1"/>
    <w:rsid w:val="17C47703"/>
    <w:rsid w:val="19B35C6F"/>
    <w:rsid w:val="23E744C1"/>
    <w:rsid w:val="279F7522"/>
    <w:rsid w:val="35BA7783"/>
    <w:rsid w:val="382917F8"/>
    <w:rsid w:val="387A58C0"/>
    <w:rsid w:val="3DBB6653"/>
    <w:rsid w:val="3F333F1C"/>
    <w:rsid w:val="3F551B6D"/>
    <w:rsid w:val="3FEF2A0F"/>
    <w:rsid w:val="4A737D22"/>
    <w:rsid w:val="4CA7654B"/>
    <w:rsid w:val="4FCD574D"/>
    <w:rsid w:val="50C36445"/>
    <w:rsid w:val="511978F1"/>
    <w:rsid w:val="52207E0C"/>
    <w:rsid w:val="52664240"/>
    <w:rsid w:val="53626707"/>
    <w:rsid w:val="57D20A43"/>
    <w:rsid w:val="5ADA66AF"/>
    <w:rsid w:val="5E4C4BDA"/>
    <w:rsid w:val="636D5BCE"/>
    <w:rsid w:val="65FC4608"/>
    <w:rsid w:val="68766922"/>
    <w:rsid w:val="69B01E19"/>
    <w:rsid w:val="6D5A3793"/>
    <w:rsid w:val="70905DFA"/>
    <w:rsid w:val="71754A44"/>
    <w:rsid w:val="744D369E"/>
    <w:rsid w:val="752F283A"/>
    <w:rsid w:val="77FC76C3"/>
    <w:rsid w:val="79D1111D"/>
    <w:rsid w:val="79D447C4"/>
    <w:rsid w:val="7ED5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2"/>
    <w:basedOn w:val="1"/>
    <w:next w:val="1"/>
    <w:qFormat/>
    <w:uiPriority w:val="0"/>
    <w:pPr>
      <w:keepNext/>
      <w:keepLines/>
      <w:framePr w:hSpace="181" w:vSpace="181" w:wrap="notBeside" w:vAnchor="text" w:hAnchor="text" w:y="1"/>
      <w:jc w:val="center"/>
      <w:outlineLvl w:val="1"/>
    </w:pPr>
    <w:rPr>
      <w:rFonts w:eastAsia="楷体"/>
    </w:rPr>
  </w:style>
  <w:style w:type="paragraph" w:styleId="4">
    <w:name w:val="heading 3"/>
    <w:basedOn w:val="1"/>
    <w:next w:val="5"/>
    <w:qFormat/>
    <w:uiPriority w:val="0"/>
    <w:pPr>
      <w:keepNext/>
      <w:keepLines/>
      <w:spacing w:before="260" w:after="260" w:line="416" w:lineRule="atLeast"/>
      <w:outlineLvl w:val="2"/>
    </w:pPr>
    <w:rPr>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pacing w:line="400" w:lineRule="atLeast"/>
      <w:jc w:val="center"/>
    </w:pPr>
    <w:rPr>
      <w:rFonts w:hAnsi="汉鼎简仿宋"/>
      <w:sz w:val="2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Body Text First Indent 2"/>
    <w:basedOn w:val="6"/>
    <w:semiHidden/>
    <w:qFormat/>
    <w:uiPriority w:val="0"/>
    <w:pPr>
      <w:spacing w:before="100" w:beforeAutospacing="1"/>
      <w:ind w:left="0" w:leftChars="0" w:firstLine="40"/>
    </w:pPr>
    <w:rPr>
      <w:rFonts w:ascii="仿宋_GB2312" w:hAnsi="宋体" w:eastAsia="仿宋" w:cs="宋体"/>
    </w:rPr>
  </w:style>
  <w:style w:type="character" w:styleId="12">
    <w:name w:val="page number"/>
    <w:basedOn w:val="11"/>
    <w:qFormat/>
    <w:uiPriority w:val="0"/>
  </w:style>
  <w:style w:type="paragraph" w:customStyle="1" w:styleId="13">
    <w:name w:val="标题1"/>
    <w:basedOn w:val="1"/>
    <w:next w:val="2"/>
    <w:qFormat/>
    <w:uiPriority w:val="0"/>
    <w:pPr>
      <w:tabs>
        <w:tab w:val="left" w:pos="9193"/>
        <w:tab w:val="left" w:pos="9827"/>
      </w:tabs>
      <w:spacing w:line="700" w:lineRule="atLeast"/>
      <w:jc w:val="center"/>
    </w:pPr>
    <w:rPr>
      <w:rFonts w:ascii="汉鼎简大宋" w:eastAsia="汉鼎简大宋"/>
      <w:sz w:val="44"/>
    </w:rPr>
  </w:style>
  <w:style w:type="paragraph" w:customStyle="1" w:styleId="14">
    <w:name w:val="红线"/>
    <w:basedOn w:val="1"/>
    <w:qFormat/>
    <w:uiPriority w:val="0"/>
    <w:pPr>
      <w:snapToGrid/>
      <w:spacing w:after="170" w:line="227" w:lineRule="atLeast"/>
      <w:jc w:val="center"/>
    </w:pPr>
    <w:rPr>
      <w:sz w:val="10"/>
    </w:rPr>
  </w:style>
  <w:style w:type="paragraph" w:customStyle="1" w:styleId="15">
    <w:name w:val="标题2"/>
    <w:basedOn w:val="1"/>
    <w:next w:val="1"/>
    <w:qFormat/>
    <w:uiPriority w:val="0"/>
    <w:pPr>
      <w:jc w:val="center"/>
    </w:pPr>
    <w:rPr>
      <w:rFonts w:ascii="汉鼎简楷体" w:hAnsi="Book Antiqua" w:eastAsia="汉鼎简楷体"/>
    </w:rPr>
  </w:style>
  <w:style w:type="paragraph" w:customStyle="1" w:styleId="16">
    <w:name w:val="标题3"/>
    <w:basedOn w:val="1"/>
    <w:next w:val="1"/>
    <w:qFormat/>
    <w:uiPriority w:val="0"/>
    <w:rPr>
      <w:rFonts w:ascii="汉鼎简黑体" w:eastAsia="汉鼎简黑体"/>
    </w:rPr>
  </w:style>
  <w:style w:type="paragraph" w:customStyle="1" w:styleId="17">
    <w:name w:val="主题词"/>
    <w:basedOn w:val="1"/>
    <w:qFormat/>
    <w:uiPriority w:val="0"/>
    <w:pPr>
      <w:snapToGrid/>
    </w:pPr>
    <w:rPr>
      <w:rFonts w:ascii="宋体"/>
      <w:b/>
    </w:rPr>
  </w:style>
  <w:style w:type="paragraph" w:customStyle="1" w:styleId="18">
    <w:name w:val="抄送栏"/>
    <w:basedOn w:val="1"/>
    <w:qFormat/>
    <w:uiPriority w:val="0"/>
    <w:pPr>
      <w:snapToGrid/>
      <w:ind w:left="992" w:hanging="992"/>
    </w:pPr>
  </w:style>
  <w:style w:type="paragraph" w:customStyle="1" w:styleId="19">
    <w:name w:val="文头"/>
    <w:basedOn w:val="14"/>
    <w:qFormat/>
    <w:uiPriority w:val="0"/>
    <w:pPr>
      <w:spacing w:before="320" w:after="0"/>
      <w:ind w:left="227" w:right="227"/>
      <w:jc w:val="distribute"/>
    </w:pPr>
    <w:rPr>
      <w:rFonts w:ascii="汉鼎简大宋" w:eastAsia="汉鼎简大宋"/>
      <w:color w:val="FF0000"/>
      <w:spacing w:val="36"/>
      <w:w w:val="82"/>
      <w:sz w:val="90"/>
    </w:rPr>
  </w:style>
  <w:style w:type="character" w:customStyle="1" w:styleId="20">
    <w:name w:val="15"/>
    <w:basedOn w:val="11"/>
    <w:qFormat/>
    <w:uiPriority w:val="0"/>
    <w:rPr>
      <w:rFonts w:hint="default" w:ascii="Times New Roman" w:hAnsi="Times New Roman" w:cs="Times New Roman"/>
      <w:b/>
    </w:rPr>
  </w:style>
  <w:style w:type="character" w:customStyle="1" w:styleId="21">
    <w:name w:val="16"/>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20844;&#25991;\A4mb\&#20989;&#2279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函复文.dot</Template>
  <Company>wyk</Company>
  <Pages>11</Pages>
  <Words>5665</Words>
  <Characters>5780</Characters>
  <Lines>41</Lines>
  <Paragraphs>11</Paragraphs>
  <TotalTime>70</TotalTime>
  <ScaleCrop>false</ScaleCrop>
  <LinksUpToDate>false</LinksUpToDate>
  <CharactersWithSpaces>5782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2025-02-08T04:25:00Z</dcterms:created>
  <dc:creator>微软用户</dc:creator>
  <cp:lastModifiedBy>Wear</cp:lastModifiedBy>
  <cp:lastPrinted>2025-02-08T03:51:00Z</cp:lastPrinted>
  <dcterms:modified xsi:type="dcterms:W3CDTF">2025-02-08T11:26:26Z</dcterms:modified>
  <dc:title>函复文模板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B75657177E4E41D58DD1004D93226474_13</vt:lpwstr>
  </property>
  <property fmtid="{D5CDD505-2E9C-101B-9397-08002B2CF9AE}" pid="4" name="KSOTemplateDocerSaveRecord">
    <vt:lpwstr>eyJoZGlkIjoiNjc3ZDM2ODI4MDgwMzhhNzY2NmMwYzI1YTg4YjJhZDUiLCJ1c2VySWQiOiIyODMzNDgxMDEifQ==</vt:lpwstr>
  </property>
</Properties>
</file>