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315F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方正小标宋_GBK" w:hAnsi="方正小标宋_GBK" w:eastAsia="方正小标宋_GBK" w:cs="方正小标宋_GBK"/>
          <w:color w:val="auto"/>
          <w:sz w:val="44"/>
          <w:szCs w:val="44"/>
          <w:highlight w:val="none"/>
        </w:rPr>
      </w:pPr>
      <w:bookmarkStart w:id="0" w:name="_Toc18153"/>
      <w:r>
        <w:rPr>
          <w:rFonts w:hint="eastAsia" w:ascii="方正小标宋_GBK" w:hAnsi="方正小标宋_GBK" w:eastAsia="方正小标宋_GBK" w:cs="方正小标宋_GBK"/>
          <w:color w:val="auto"/>
          <w:sz w:val="44"/>
          <w:szCs w:val="44"/>
          <w:highlight w:val="none"/>
        </w:rPr>
        <w:t>姜堰区“十五五”新型工业化发展规划草案</w:t>
      </w:r>
      <w:bookmarkEnd w:id="0"/>
    </w:p>
    <w:p w14:paraId="14105A1F">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方正仿宋_GBK" w:hAnsi="方正仿宋_GBK" w:eastAsia="方正仿宋_GBK" w:cs="方正仿宋_GBK"/>
          <w:color w:val="auto"/>
          <w:sz w:val="32"/>
          <w:szCs w:val="32"/>
          <w:highlight w:val="none"/>
        </w:rPr>
      </w:pPr>
      <w:bookmarkStart w:id="1" w:name="_Toc4464"/>
      <w:r>
        <w:rPr>
          <w:rFonts w:hint="eastAsia" w:ascii="方正小标宋_GBK" w:hAnsi="方正小标宋_GBK" w:eastAsia="方正小标宋_GBK" w:cs="方正小标宋_GBK"/>
          <w:color w:val="auto"/>
          <w:sz w:val="44"/>
          <w:szCs w:val="44"/>
          <w:highlight w:val="none"/>
        </w:rPr>
        <w:t>（2026-2030年）（</w:t>
      </w:r>
      <w:r>
        <w:rPr>
          <w:rFonts w:hint="eastAsia" w:ascii="方正小标宋_GBK" w:hAnsi="方正小标宋_GBK" w:eastAsia="方正小标宋_GBK" w:cs="方正小标宋_GBK"/>
          <w:color w:val="auto"/>
          <w:sz w:val="44"/>
          <w:szCs w:val="44"/>
          <w:highlight w:val="none"/>
          <w:lang w:val="en-US" w:eastAsia="zh-CN"/>
        </w:rPr>
        <w:t>征求意见</w:t>
      </w:r>
      <w:r>
        <w:rPr>
          <w:rFonts w:hint="eastAsia" w:ascii="方正小标宋_GBK" w:hAnsi="方正小标宋_GBK" w:eastAsia="方正小标宋_GBK" w:cs="方正小标宋_GBK"/>
          <w:color w:val="auto"/>
          <w:sz w:val="44"/>
          <w:szCs w:val="44"/>
          <w:highlight w:val="none"/>
        </w:rPr>
        <w:t>稿）</w:t>
      </w:r>
      <w:bookmarkEnd w:id="1"/>
    </w:p>
    <w:p w14:paraId="6A231FC6">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方正仿宋_GBK" w:hAnsi="方正仿宋_GBK" w:eastAsia="方正仿宋_GBK" w:cs="方正仿宋_GBK"/>
          <w:color w:val="auto"/>
          <w:sz w:val="32"/>
          <w:szCs w:val="32"/>
          <w:highlight w:val="none"/>
        </w:rPr>
      </w:pPr>
    </w:p>
    <w:p w14:paraId="02FFB12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方正仿宋_GBK" w:hAnsi="方正仿宋_GBK" w:eastAsia="方正仿宋_GBK" w:cs="方正仿宋_GBK"/>
          <w:color w:val="auto"/>
          <w:sz w:val="32"/>
          <w:szCs w:val="32"/>
          <w:highlight w:val="none"/>
        </w:rPr>
      </w:pPr>
      <w:bookmarkStart w:id="2" w:name="_Toc17878"/>
      <w:r>
        <w:rPr>
          <w:rFonts w:hint="eastAsia" w:ascii="方正仿宋_GBK" w:hAnsi="方正仿宋_GBK" w:eastAsia="方正仿宋_GBK" w:cs="方正仿宋_GBK"/>
          <w:color w:val="auto"/>
          <w:sz w:val="32"/>
          <w:szCs w:val="32"/>
          <w:highlight w:val="none"/>
        </w:rPr>
        <w:t>前言</w:t>
      </w:r>
      <w:bookmarkEnd w:id="2"/>
    </w:p>
    <w:p w14:paraId="5779A460">
      <w:pPr>
        <w:pStyle w:val="2"/>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p>
    <w:p w14:paraId="3B1C08B2">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方正仿宋_GBK" w:hAnsi="方正仿宋_GBK" w:eastAsia="方正仿宋_GBK" w:cs="方正仿宋_GBK"/>
          <w:color w:val="auto"/>
          <w:sz w:val="32"/>
          <w:szCs w:val="32"/>
          <w:highlight w:val="none"/>
        </w:rPr>
        <w:sectPr>
          <w:pgSz w:w="11906" w:h="16838"/>
          <w:pgMar w:top="2098" w:right="1474" w:bottom="1984" w:left="1587" w:header="851" w:footer="1191"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highlight w:val="none"/>
        </w:rPr>
        <w:t>“十四五”时期，在姜堰区委、区政府的坚强领导下，全区工业和信息化战线成功应对风险挑战，工业经济保持了稳中有进、持续向好的发展态势，为“十五五”时期高质量发展奠定了坚实基础。面向新阶段，为适应新形势新要求，依据国家、省、市相关战略部署及《“十五五”时期姜堰区国民经济与社会发展基本思路研究》，特制定本规划。本规划旨在明确未来五年全区工业和信息化发展的指导思想、基本原则、战略目标、重点任务与保障措施，是指导全区新型工业化发展的行动纲领。规划期为2026年至2030年。</w:t>
      </w:r>
      <w:bookmarkStart w:id="3" w:name="_Toc21968"/>
    </w:p>
    <w:p w14:paraId="37DB921A">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default" w:ascii="Times New Roman" w:hAnsi="Times New Roman" w:eastAsia="方正小标宋_GBK" w:cs="Times New Roman"/>
          <w:color w:val="auto"/>
          <w:spacing w:val="6"/>
          <w:kern w:val="44"/>
          <w:sz w:val="28"/>
          <w:szCs w:val="28"/>
        </w:rPr>
      </w:pPr>
      <w:r>
        <w:rPr>
          <w:rFonts w:hint="default" w:ascii="Times New Roman" w:hAnsi="Times New Roman" w:eastAsia="方正黑体_GBK" w:cs="Times New Roman"/>
          <w:color w:val="auto"/>
          <w:sz w:val="44"/>
          <w:szCs w:val="44"/>
        </w:rPr>
        <w:t>目</w:t>
      </w:r>
      <w:r>
        <w:rPr>
          <w:rFonts w:hint="eastAsia" w:ascii="Times New Roman" w:hAnsi="Times New Roman" w:eastAsia="方正黑体_GBK" w:cs="Times New Roman"/>
          <w:color w:val="auto"/>
          <w:sz w:val="44"/>
          <w:szCs w:val="44"/>
          <w:lang w:val="en-US" w:eastAsia="zh-CN"/>
        </w:rPr>
        <w:t xml:space="preserve">   </w:t>
      </w:r>
      <w:r>
        <w:rPr>
          <w:rFonts w:hint="default" w:ascii="Times New Roman" w:hAnsi="Times New Roman" w:eastAsia="方正黑体_GBK" w:cs="Times New Roman"/>
          <w:color w:val="auto"/>
          <w:sz w:val="44"/>
          <w:szCs w:val="44"/>
        </w:rPr>
        <w:t>录</w:t>
      </w:r>
      <w:r>
        <w:rPr>
          <w:rFonts w:hint="eastAsia"/>
          <w:color w:val="auto"/>
        </w:rPr>
        <w:fldChar w:fldCharType="begin"/>
      </w:r>
      <w:r>
        <w:rPr>
          <w:rFonts w:hint="eastAsia"/>
          <w:color w:val="auto"/>
        </w:rPr>
        <w:instrText xml:space="preserve">TOC \o "1-2" \h \u </w:instrText>
      </w:r>
      <w:r>
        <w:rPr>
          <w:rFonts w:hint="eastAsia"/>
          <w:color w:val="auto"/>
        </w:rPr>
        <w:fldChar w:fldCharType="separate"/>
      </w:r>
    </w:p>
    <w:p w14:paraId="353D52D0">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color w:val="auto"/>
          <w:spacing w:val="6"/>
          <w:kern w:val="44"/>
          <w:sz w:val="28"/>
          <w:szCs w:val="28"/>
        </w:rPr>
      </w:pPr>
      <w:r>
        <w:rPr>
          <w:rFonts w:hint="eastAsia" w:ascii="Times New Roman" w:hAnsi="Times New Roman" w:eastAsia="方正小标宋_GBK" w:cs="Times New Roman"/>
          <w:color w:val="auto"/>
          <w:spacing w:val="6"/>
          <w:kern w:val="44"/>
          <w:sz w:val="28"/>
          <w:szCs w:val="28"/>
        </w:rPr>
        <w:fldChar w:fldCharType="begin"/>
      </w:r>
      <w:r>
        <w:rPr>
          <w:rFonts w:hint="eastAsia" w:ascii="Times New Roman" w:hAnsi="Times New Roman" w:eastAsia="方正小标宋_GBK" w:cs="Times New Roman"/>
          <w:color w:val="auto"/>
          <w:spacing w:val="6"/>
          <w:kern w:val="44"/>
          <w:sz w:val="28"/>
          <w:szCs w:val="28"/>
        </w:rPr>
        <w:instrText xml:space="preserve"> HYPERLINK \l _Toc8297 </w:instrText>
      </w:r>
      <w:r>
        <w:rPr>
          <w:rFonts w:hint="eastAsia" w:ascii="Times New Roman" w:hAnsi="Times New Roman" w:eastAsia="方正小标宋_GBK" w:cs="Times New Roman"/>
          <w:color w:val="auto"/>
          <w:spacing w:val="6"/>
          <w:kern w:val="44"/>
          <w:sz w:val="28"/>
          <w:szCs w:val="28"/>
        </w:rPr>
        <w:fldChar w:fldCharType="separate"/>
      </w:r>
      <w:r>
        <w:rPr>
          <w:rFonts w:hint="eastAsia" w:ascii="Times New Roman" w:hAnsi="Times New Roman" w:eastAsia="方正小标宋_GBK" w:cs="Times New Roman"/>
          <w:color w:val="auto"/>
          <w:spacing w:val="6"/>
          <w:kern w:val="44"/>
          <w:sz w:val="28"/>
          <w:szCs w:val="28"/>
        </w:rPr>
        <w:t>第一章 发展基础与环境</w:t>
      </w:r>
      <w:r>
        <w:rPr>
          <w:rFonts w:hint="default" w:ascii="Times New Roman" w:hAnsi="Times New Roman" w:eastAsia="方正小标宋_GBK" w:cs="Times New Roman"/>
          <w:color w:val="auto"/>
          <w:spacing w:val="6"/>
          <w:kern w:val="44"/>
          <w:sz w:val="28"/>
          <w:szCs w:val="28"/>
        </w:rPr>
        <w:tab/>
      </w:r>
      <w:r>
        <w:rPr>
          <w:rFonts w:hint="default" w:ascii="Times New Roman" w:hAnsi="Times New Roman" w:eastAsia="方正小标宋_GBK" w:cs="Times New Roman"/>
          <w:color w:val="auto"/>
          <w:spacing w:val="6"/>
          <w:kern w:val="44"/>
          <w:sz w:val="28"/>
          <w:szCs w:val="28"/>
        </w:rPr>
        <w:fldChar w:fldCharType="begin"/>
      </w:r>
      <w:r>
        <w:rPr>
          <w:rFonts w:hint="default" w:ascii="Times New Roman" w:hAnsi="Times New Roman" w:eastAsia="方正小标宋_GBK" w:cs="Times New Roman"/>
          <w:color w:val="auto"/>
          <w:spacing w:val="6"/>
          <w:kern w:val="44"/>
          <w:sz w:val="28"/>
          <w:szCs w:val="28"/>
        </w:rPr>
        <w:instrText xml:space="preserve"> PAGEREF _Toc8297 \h </w:instrText>
      </w:r>
      <w:r>
        <w:rPr>
          <w:rFonts w:hint="default" w:ascii="Times New Roman" w:hAnsi="Times New Roman" w:eastAsia="方正小标宋_GBK" w:cs="Times New Roman"/>
          <w:color w:val="auto"/>
          <w:spacing w:val="6"/>
          <w:kern w:val="44"/>
          <w:sz w:val="28"/>
          <w:szCs w:val="28"/>
        </w:rPr>
        <w:fldChar w:fldCharType="separate"/>
      </w:r>
      <w:r>
        <w:rPr>
          <w:rFonts w:hint="default" w:ascii="Times New Roman" w:hAnsi="Times New Roman" w:eastAsia="方正小标宋_GBK" w:cs="Times New Roman"/>
          <w:color w:val="auto"/>
          <w:spacing w:val="6"/>
          <w:kern w:val="44"/>
          <w:sz w:val="28"/>
          <w:szCs w:val="28"/>
        </w:rPr>
        <w:t>1</w:t>
      </w:r>
      <w:r>
        <w:rPr>
          <w:rFonts w:hint="default" w:ascii="Times New Roman" w:hAnsi="Times New Roman" w:eastAsia="方正小标宋_GBK" w:cs="Times New Roman"/>
          <w:color w:val="auto"/>
          <w:spacing w:val="6"/>
          <w:kern w:val="44"/>
          <w:sz w:val="28"/>
          <w:szCs w:val="28"/>
        </w:rPr>
        <w:fldChar w:fldCharType="end"/>
      </w:r>
      <w:r>
        <w:rPr>
          <w:rFonts w:hint="eastAsia" w:ascii="Times New Roman" w:hAnsi="Times New Roman" w:eastAsia="方正小标宋_GBK" w:cs="Times New Roman"/>
          <w:color w:val="auto"/>
          <w:spacing w:val="6"/>
          <w:kern w:val="44"/>
          <w:sz w:val="28"/>
          <w:szCs w:val="28"/>
        </w:rPr>
        <w:fldChar w:fldCharType="end"/>
      </w:r>
    </w:p>
    <w:p w14:paraId="0FFAE75E">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color w:val="auto"/>
          <w:kern w:val="0"/>
          <w:sz w:val="28"/>
          <w:szCs w:val="28"/>
          <w:lang w:val="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_Toc20050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第一节 “十四五”时期发展回顾</w:t>
      </w:r>
      <w:r>
        <w:rPr>
          <w:rFonts w:hint="default" w:ascii="Times New Roman" w:hAnsi="Times New Roman" w:eastAsia="方正楷体_GBK" w:cs="Times New Roman"/>
          <w:color w:val="auto"/>
          <w:kern w:val="0"/>
          <w:sz w:val="28"/>
          <w:szCs w:val="28"/>
          <w:lang w:val="zh-CN"/>
        </w:rPr>
        <w:tab/>
      </w:r>
      <w:r>
        <w:rPr>
          <w:rFonts w:hint="default" w:ascii="Times New Roman" w:hAnsi="Times New Roman" w:eastAsia="方正楷体_GBK" w:cs="Times New Roman"/>
          <w:color w:val="auto"/>
          <w:kern w:val="0"/>
          <w:sz w:val="28"/>
          <w:szCs w:val="28"/>
          <w:lang w:val="zh-CN"/>
        </w:rPr>
        <w:fldChar w:fldCharType="begin"/>
      </w:r>
      <w:r>
        <w:rPr>
          <w:rFonts w:hint="default" w:ascii="Times New Roman" w:hAnsi="Times New Roman" w:eastAsia="方正楷体_GBK" w:cs="Times New Roman"/>
          <w:color w:val="auto"/>
          <w:kern w:val="0"/>
          <w:sz w:val="28"/>
          <w:szCs w:val="28"/>
          <w:lang w:val="zh-CN"/>
        </w:rPr>
        <w:instrText xml:space="preserve"> PAGEREF _Toc20050 \h </w:instrText>
      </w:r>
      <w:r>
        <w:rPr>
          <w:rFonts w:hint="default" w:ascii="Times New Roman" w:hAnsi="Times New Roman" w:eastAsia="方正楷体_GBK" w:cs="Times New Roman"/>
          <w:color w:val="auto"/>
          <w:kern w:val="0"/>
          <w:sz w:val="28"/>
          <w:szCs w:val="28"/>
          <w:lang w:val="zh-CN"/>
        </w:rPr>
        <w:fldChar w:fldCharType="separate"/>
      </w:r>
      <w:r>
        <w:rPr>
          <w:rFonts w:hint="default" w:ascii="Times New Roman" w:hAnsi="Times New Roman" w:eastAsia="方正楷体_GBK" w:cs="Times New Roman"/>
          <w:color w:val="auto"/>
          <w:kern w:val="0"/>
          <w:sz w:val="28"/>
          <w:szCs w:val="28"/>
          <w:lang w:val="zh-CN"/>
        </w:rPr>
        <w:t>1</w:t>
      </w:r>
      <w:r>
        <w:rPr>
          <w:rFonts w:hint="default"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7CA4382E">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default" w:ascii="Times New Roman" w:hAnsi="Times New Roman" w:eastAsia="方正楷体_GBK" w:cs="Times New Roman"/>
          <w:color w:val="auto"/>
          <w:kern w:val="0"/>
          <w:sz w:val="28"/>
          <w:szCs w:val="28"/>
          <w:lang w:val="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_Toc23774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第二节 “十五五”时期面临的新形势</w:t>
      </w:r>
      <w:r>
        <w:rPr>
          <w:rFonts w:hint="default" w:ascii="Times New Roman" w:hAnsi="Times New Roman" w:eastAsia="方正楷体_GBK" w:cs="Times New Roman"/>
          <w:color w:val="auto"/>
          <w:kern w:val="0"/>
          <w:sz w:val="28"/>
          <w:szCs w:val="28"/>
          <w:lang w:val="zh-CN"/>
        </w:rPr>
        <w:tab/>
      </w:r>
      <w:r>
        <w:rPr>
          <w:rFonts w:hint="default" w:ascii="Times New Roman" w:hAnsi="Times New Roman" w:eastAsia="方正楷体_GBK" w:cs="Times New Roman"/>
          <w:color w:val="auto"/>
          <w:kern w:val="0"/>
          <w:sz w:val="28"/>
          <w:szCs w:val="28"/>
          <w:lang w:val="zh-CN"/>
        </w:rPr>
        <w:fldChar w:fldCharType="begin"/>
      </w:r>
      <w:r>
        <w:rPr>
          <w:rFonts w:hint="default" w:ascii="Times New Roman" w:hAnsi="Times New Roman" w:eastAsia="方正楷体_GBK" w:cs="Times New Roman"/>
          <w:color w:val="auto"/>
          <w:kern w:val="0"/>
          <w:sz w:val="28"/>
          <w:szCs w:val="28"/>
          <w:lang w:val="zh-CN"/>
        </w:rPr>
        <w:instrText xml:space="preserve"> PAGEREF _Toc23774 \h </w:instrText>
      </w:r>
      <w:r>
        <w:rPr>
          <w:rFonts w:hint="default" w:ascii="Times New Roman" w:hAnsi="Times New Roman" w:eastAsia="方正楷体_GBK" w:cs="Times New Roman"/>
          <w:color w:val="auto"/>
          <w:kern w:val="0"/>
          <w:sz w:val="28"/>
          <w:szCs w:val="28"/>
          <w:lang w:val="zh-CN"/>
        </w:rPr>
        <w:fldChar w:fldCharType="separate"/>
      </w:r>
      <w:r>
        <w:rPr>
          <w:rFonts w:hint="default" w:ascii="Times New Roman" w:hAnsi="Times New Roman" w:eastAsia="方正楷体_GBK" w:cs="Times New Roman"/>
          <w:color w:val="auto"/>
          <w:kern w:val="0"/>
          <w:sz w:val="28"/>
          <w:szCs w:val="28"/>
          <w:lang w:val="zh-CN"/>
        </w:rPr>
        <w:t>7</w:t>
      </w:r>
      <w:r>
        <w:rPr>
          <w:rFonts w:hint="default"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74F07843">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Times New Roman"/>
          <w:color w:val="auto"/>
          <w:spacing w:val="6"/>
          <w:kern w:val="44"/>
          <w:sz w:val="28"/>
          <w:szCs w:val="28"/>
        </w:rPr>
      </w:pPr>
      <w:r>
        <w:rPr>
          <w:rFonts w:hint="eastAsia" w:ascii="Times New Roman" w:hAnsi="Times New Roman" w:eastAsia="方正小标宋_GBK" w:cs="Times New Roman"/>
          <w:color w:val="auto"/>
          <w:spacing w:val="6"/>
          <w:kern w:val="44"/>
          <w:sz w:val="28"/>
          <w:szCs w:val="28"/>
        </w:rPr>
        <w:fldChar w:fldCharType="begin"/>
      </w:r>
      <w:r>
        <w:rPr>
          <w:rFonts w:hint="eastAsia" w:ascii="Times New Roman" w:hAnsi="Times New Roman" w:eastAsia="方正小标宋_GBK" w:cs="Times New Roman"/>
          <w:color w:val="auto"/>
          <w:spacing w:val="6"/>
          <w:kern w:val="44"/>
          <w:sz w:val="28"/>
          <w:szCs w:val="28"/>
        </w:rPr>
        <w:instrText xml:space="preserve"> HYPERLINK \l _Toc13520 </w:instrText>
      </w:r>
      <w:r>
        <w:rPr>
          <w:rFonts w:hint="eastAsia" w:ascii="Times New Roman" w:hAnsi="Times New Roman" w:eastAsia="方正小标宋_GBK" w:cs="Times New Roman"/>
          <w:color w:val="auto"/>
          <w:spacing w:val="6"/>
          <w:kern w:val="44"/>
          <w:sz w:val="28"/>
          <w:szCs w:val="28"/>
        </w:rPr>
        <w:fldChar w:fldCharType="separate"/>
      </w:r>
      <w:r>
        <w:rPr>
          <w:rFonts w:hint="eastAsia" w:ascii="Times New Roman" w:hAnsi="Times New Roman" w:eastAsia="方正小标宋_GBK" w:cs="Times New Roman"/>
          <w:color w:val="auto"/>
          <w:spacing w:val="6"/>
          <w:kern w:val="44"/>
          <w:sz w:val="28"/>
          <w:szCs w:val="28"/>
        </w:rPr>
        <w:t>第二章 总体思路与发展目标</w:t>
      </w:r>
      <w:r>
        <w:rPr>
          <w:rFonts w:hint="eastAsia" w:ascii="Times New Roman" w:hAnsi="Times New Roman" w:eastAsia="方正小标宋_GBK" w:cs="Times New Roman"/>
          <w:color w:val="auto"/>
          <w:spacing w:val="6"/>
          <w:kern w:val="44"/>
          <w:sz w:val="28"/>
          <w:szCs w:val="28"/>
        </w:rPr>
        <w:tab/>
      </w:r>
      <w:r>
        <w:rPr>
          <w:rFonts w:hint="eastAsia" w:ascii="Times New Roman" w:hAnsi="Times New Roman" w:eastAsia="方正小标宋_GBK" w:cs="Times New Roman"/>
          <w:color w:val="auto"/>
          <w:spacing w:val="6"/>
          <w:kern w:val="44"/>
          <w:sz w:val="28"/>
          <w:szCs w:val="28"/>
        </w:rPr>
        <w:fldChar w:fldCharType="begin"/>
      </w:r>
      <w:r>
        <w:rPr>
          <w:rFonts w:hint="eastAsia" w:ascii="Times New Roman" w:hAnsi="Times New Roman" w:eastAsia="方正小标宋_GBK" w:cs="Times New Roman"/>
          <w:color w:val="auto"/>
          <w:spacing w:val="6"/>
          <w:kern w:val="44"/>
          <w:sz w:val="28"/>
          <w:szCs w:val="28"/>
        </w:rPr>
        <w:instrText xml:space="preserve"> PAGEREF _Toc13520 \h </w:instrText>
      </w:r>
      <w:r>
        <w:rPr>
          <w:rFonts w:hint="eastAsia" w:ascii="Times New Roman" w:hAnsi="Times New Roman" w:eastAsia="方正小标宋_GBK" w:cs="Times New Roman"/>
          <w:color w:val="auto"/>
          <w:spacing w:val="6"/>
          <w:kern w:val="44"/>
          <w:sz w:val="28"/>
          <w:szCs w:val="28"/>
        </w:rPr>
        <w:fldChar w:fldCharType="separate"/>
      </w:r>
      <w:r>
        <w:rPr>
          <w:rFonts w:hint="eastAsia" w:ascii="Times New Roman" w:hAnsi="Times New Roman" w:eastAsia="方正小标宋_GBK" w:cs="Times New Roman"/>
          <w:color w:val="auto"/>
          <w:spacing w:val="6"/>
          <w:kern w:val="44"/>
          <w:sz w:val="28"/>
          <w:szCs w:val="28"/>
        </w:rPr>
        <w:t>10</w:t>
      </w:r>
      <w:r>
        <w:rPr>
          <w:rFonts w:hint="eastAsia" w:ascii="Times New Roman" w:hAnsi="Times New Roman" w:eastAsia="方正小标宋_GBK" w:cs="Times New Roman"/>
          <w:color w:val="auto"/>
          <w:spacing w:val="6"/>
          <w:kern w:val="44"/>
          <w:sz w:val="28"/>
          <w:szCs w:val="28"/>
        </w:rPr>
        <w:fldChar w:fldCharType="end"/>
      </w:r>
      <w:r>
        <w:rPr>
          <w:rFonts w:hint="eastAsia" w:ascii="Times New Roman" w:hAnsi="Times New Roman" w:eastAsia="方正小标宋_GBK" w:cs="Times New Roman"/>
          <w:color w:val="auto"/>
          <w:spacing w:val="6"/>
          <w:kern w:val="44"/>
          <w:sz w:val="28"/>
          <w:szCs w:val="28"/>
        </w:rPr>
        <w:fldChar w:fldCharType="end"/>
      </w:r>
    </w:p>
    <w:p w14:paraId="02F7ECF0">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_Toc31973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第一节 指导思想</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PAGEREF _Toc31973 \h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10</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48A67B3D">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_Toc25813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第二节 基本原则</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PAGEREF _Toc25813 \h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10</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193AE6D8">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_Toc7338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第三节 发展目标</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PAGEREF _Toc7338 \h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11</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6FB87F9E">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Times New Roman"/>
          <w:color w:val="auto"/>
          <w:spacing w:val="6"/>
          <w:kern w:val="44"/>
          <w:sz w:val="28"/>
          <w:szCs w:val="28"/>
        </w:rPr>
      </w:pPr>
      <w:r>
        <w:rPr>
          <w:rFonts w:hint="eastAsia" w:ascii="Times New Roman" w:hAnsi="Times New Roman" w:eastAsia="方正小标宋_GBK" w:cs="Times New Roman"/>
          <w:color w:val="auto"/>
          <w:spacing w:val="6"/>
          <w:kern w:val="44"/>
          <w:sz w:val="28"/>
          <w:szCs w:val="28"/>
        </w:rPr>
        <w:fldChar w:fldCharType="begin"/>
      </w:r>
      <w:r>
        <w:rPr>
          <w:rFonts w:hint="eastAsia" w:ascii="Times New Roman" w:hAnsi="Times New Roman" w:eastAsia="方正小标宋_GBK" w:cs="Times New Roman"/>
          <w:color w:val="auto"/>
          <w:spacing w:val="6"/>
          <w:kern w:val="44"/>
          <w:sz w:val="28"/>
          <w:szCs w:val="28"/>
        </w:rPr>
        <w:instrText xml:space="preserve"> HYPERLINK \l _Toc26465 </w:instrText>
      </w:r>
      <w:r>
        <w:rPr>
          <w:rFonts w:hint="eastAsia" w:ascii="Times New Roman" w:hAnsi="Times New Roman" w:eastAsia="方正小标宋_GBK" w:cs="Times New Roman"/>
          <w:color w:val="auto"/>
          <w:spacing w:val="6"/>
          <w:kern w:val="44"/>
          <w:sz w:val="28"/>
          <w:szCs w:val="28"/>
        </w:rPr>
        <w:fldChar w:fldCharType="separate"/>
      </w:r>
      <w:r>
        <w:rPr>
          <w:rFonts w:hint="eastAsia" w:ascii="Times New Roman" w:hAnsi="Times New Roman" w:eastAsia="方正小标宋_GBK" w:cs="Times New Roman"/>
          <w:color w:val="auto"/>
          <w:spacing w:val="6"/>
          <w:kern w:val="44"/>
          <w:sz w:val="28"/>
          <w:szCs w:val="28"/>
        </w:rPr>
        <w:t>第三章 构建现代化产业体系，打造特色产业集群</w:t>
      </w:r>
      <w:r>
        <w:rPr>
          <w:rFonts w:hint="eastAsia" w:ascii="Times New Roman" w:hAnsi="Times New Roman" w:eastAsia="方正小标宋_GBK" w:cs="Times New Roman"/>
          <w:color w:val="auto"/>
          <w:spacing w:val="6"/>
          <w:kern w:val="44"/>
          <w:sz w:val="28"/>
          <w:szCs w:val="28"/>
        </w:rPr>
        <w:tab/>
      </w:r>
      <w:r>
        <w:rPr>
          <w:rFonts w:hint="eastAsia" w:ascii="Times New Roman" w:hAnsi="Times New Roman" w:eastAsia="方正小标宋_GBK" w:cs="Times New Roman"/>
          <w:color w:val="auto"/>
          <w:spacing w:val="6"/>
          <w:kern w:val="44"/>
          <w:sz w:val="28"/>
          <w:szCs w:val="28"/>
        </w:rPr>
        <w:fldChar w:fldCharType="begin"/>
      </w:r>
      <w:r>
        <w:rPr>
          <w:rFonts w:hint="eastAsia" w:ascii="Times New Roman" w:hAnsi="Times New Roman" w:eastAsia="方正小标宋_GBK" w:cs="Times New Roman"/>
          <w:color w:val="auto"/>
          <w:spacing w:val="6"/>
          <w:kern w:val="44"/>
          <w:sz w:val="28"/>
          <w:szCs w:val="28"/>
        </w:rPr>
        <w:instrText xml:space="preserve"> PAGEREF _Toc26465 \h </w:instrText>
      </w:r>
      <w:r>
        <w:rPr>
          <w:rFonts w:hint="eastAsia" w:ascii="Times New Roman" w:hAnsi="Times New Roman" w:eastAsia="方正小标宋_GBK" w:cs="Times New Roman"/>
          <w:color w:val="auto"/>
          <w:spacing w:val="6"/>
          <w:kern w:val="44"/>
          <w:sz w:val="28"/>
          <w:szCs w:val="28"/>
        </w:rPr>
        <w:fldChar w:fldCharType="separate"/>
      </w:r>
      <w:r>
        <w:rPr>
          <w:rFonts w:hint="eastAsia" w:ascii="Times New Roman" w:hAnsi="Times New Roman" w:eastAsia="方正小标宋_GBK" w:cs="Times New Roman"/>
          <w:color w:val="auto"/>
          <w:spacing w:val="6"/>
          <w:kern w:val="44"/>
          <w:sz w:val="28"/>
          <w:szCs w:val="28"/>
        </w:rPr>
        <w:t>15</w:t>
      </w:r>
      <w:r>
        <w:rPr>
          <w:rFonts w:hint="eastAsia" w:ascii="Times New Roman" w:hAnsi="Times New Roman" w:eastAsia="方正小标宋_GBK" w:cs="Times New Roman"/>
          <w:color w:val="auto"/>
          <w:spacing w:val="6"/>
          <w:kern w:val="44"/>
          <w:sz w:val="28"/>
          <w:szCs w:val="28"/>
        </w:rPr>
        <w:fldChar w:fldCharType="end"/>
      </w:r>
      <w:r>
        <w:rPr>
          <w:rFonts w:hint="eastAsia" w:ascii="Times New Roman" w:hAnsi="Times New Roman" w:eastAsia="方正小标宋_GBK" w:cs="Times New Roman"/>
          <w:color w:val="auto"/>
          <w:spacing w:val="6"/>
          <w:kern w:val="44"/>
          <w:sz w:val="28"/>
          <w:szCs w:val="28"/>
        </w:rPr>
        <w:fldChar w:fldCharType="end"/>
      </w:r>
    </w:p>
    <w:p w14:paraId="27C3AC51">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_Toc28906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第一节 实施“2+2+X”强链工程，优化产业整体布局</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PAGEREF _Toc28906 \h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15</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25B5EE69">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_Toc19824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第二节 做大做强</w:t>
      </w:r>
      <w:r>
        <w:rPr>
          <w:rFonts w:hint="eastAsia" w:ascii="Times New Roman" w:hAnsi="Times New Roman" w:eastAsia="方正楷体_GBK" w:cs="Times New Roman"/>
          <w:color w:val="auto"/>
          <w:kern w:val="0"/>
          <w:sz w:val="28"/>
          <w:szCs w:val="28"/>
          <w:lang w:val="en-US" w:eastAsia="zh-CN"/>
        </w:rPr>
        <w:t>两大优势</w:t>
      </w:r>
      <w:r>
        <w:rPr>
          <w:rFonts w:hint="eastAsia" w:ascii="Times New Roman" w:hAnsi="Times New Roman" w:eastAsia="方正楷体_GBK" w:cs="Times New Roman"/>
          <w:color w:val="auto"/>
          <w:kern w:val="0"/>
          <w:sz w:val="28"/>
          <w:szCs w:val="28"/>
          <w:lang w:val="zh-CN"/>
        </w:rPr>
        <w:t>制造产业</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PAGEREF _Toc19824 \h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16</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5AA8BCC7">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_Toc7535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第三节 培育壮大</w:t>
      </w:r>
      <w:r>
        <w:rPr>
          <w:rFonts w:hint="eastAsia" w:ascii="Times New Roman" w:hAnsi="Times New Roman" w:eastAsia="方正楷体_GBK" w:cs="Times New Roman"/>
          <w:color w:val="auto"/>
          <w:kern w:val="0"/>
          <w:sz w:val="28"/>
          <w:szCs w:val="28"/>
          <w:lang w:val="en-US" w:eastAsia="zh-CN"/>
        </w:rPr>
        <w:t>两大</w:t>
      </w:r>
      <w:r>
        <w:rPr>
          <w:rFonts w:hint="eastAsia" w:ascii="Times New Roman" w:hAnsi="Times New Roman" w:eastAsia="方正楷体_GBK" w:cs="Times New Roman"/>
          <w:color w:val="auto"/>
          <w:kern w:val="0"/>
          <w:sz w:val="28"/>
          <w:szCs w:val="28"/>
          <w:lang w:val="zh-CN"/>
        </w:rPr>
        <w:t>新兴产业</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PAGEREF _Toc7535 \h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19</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4973BF77">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_Toc18926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第四节 探索发展</w:t>
      </w:r>
      <w:r>
        <w:rPr>
          <w:rFonts w:hint="eastAsia" w:ascii="Times New Roman" w:hAnsi="Times New Roman" w:eastAsia="方正楷体_GBK" w:cs="Times New Roman"/>
          <w:color w:val="auto"/>
          <w:kern w:val="0"/>
          <w:sz w:val="28"/>
          <w:szCs w:val="28"/>
          <w:lang w:val="zh-CN" w:eastAsia="zh-CN"/>
        </w:rPr>
        <w:t>“</w:t>
      </w:r>
      <w:r>
        <w:rPr>
          <w:rFonts w:hint="eastAsia" w:ascii="Times New Roman" w:hAnsi="Times New Roman" w:eastAsia="方正楷体_GBK" w:cs="Times New Roman"/>
          <w:color w:val="auto"/>
          <w:kern w:val="0"/>
          <w:sz w:val="28"/>
          <w:szCs w:val="28"/>
          <w:lang w:val="en-US" w:eastAsia="zh-CN"/>
        </w:rPr>
        <w:t>X”个</w:t>
      </w:r>
      <w:r>
        <w:rPr>
          <w:rFonts w:hint="eastAsia" w:ascii="Times New Roman" w:hAnsi="Times New Roman" w:eastAsia="方正楷体_GBK" w:cs="Times New Roman"/>
          <w:color w:val="auto"/>
          <w:kern w:val="0"/>
          <w:sz w:val="28"/>
          <w:szCs w:val="28"/>
          <w:lang w:val="zh-CN"/>
        </w:rPr>
        <w:t>未来产业</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PAGEREF _Toc18926 \h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21</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5A95447F">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Times New Roman"/>
          <w:color w:val="auto"/>
          <w:spacing w:val="6"/>
          <w:kern w:val="44"/>
          <w:sz w:val="28"/>
          <w:szCs w:val="28"/>
        </w:rPr>
      </w:pPr>
      <w:r>
        <w:rPr>
          <w:rFonts w:hint="eastAsia" w:ascii="Times New Roman" w:hAnsi="Times New Roman" w:eastAsia="方正小标宋_GBK" w:cs="Times New Roman"/>
          <w:color w:val="auto"/>
          <w:spacing w:val="6"/>
          <w:kern w:val="44"/>
          <w:sz w:val="28"/>
          <w:szCs w:val="28"/>
        </w:rPr>
        <w:fldChar w:fldCharType="begin"/>
      </w:r>
      <w:r>
        <w:rPr>
          <w:rFonts w:hint="eastAsia" w:ascii="Times New Roman" w:hAnsi="Times New Roman" w:eastAsia="方正小标宋_GBK" w:cs="Times New Roman"/>
          <w:color w:val="auto"/>
          <w:spacing w:val="6"/>
          <w:kern w:val="44"/>
          <w:sz w:val="28"/>
          <w:szCs w:val="28"/>
        </w:rPr>
        <w:instrText xml:space="preserve"> HYPERLINK \l _Toc18287 </w:instrText>
      </w:r>
      <w:r>
        <w:rPr>
          <w:rFonts w:hint="eastAsia" w:ascii="Times New Roman" w:hAnsi="Times New Roman" w:eastAsia="方正小标宋_GBK" w:cs="Times New Roman"/>
          <w:color w:val="auto"/>
          <w:spacing w:val="6"/>
          <w:kern w:val="44"/>
          <w:sz w:val="28"/>
          <w:szCs w:val="28"/>
        </w:rPr>
        <w:fldChar w:fldCharType="separate"/>
      </w:r>
      <w:r>
        <w:rPr>
          <w:rFonts w:hint="eastAsia" w:ascii="Times New Roman" w:hAnsi="Times New Roman" w:eastAsia="方正小标宋_GBK" w:cs="Times New Roman"/>
          <w:color w:val="auto"/>
          <w:spacing w:val="6"/>
          <w:kern w:val="44"/>
          <w:sz w:val="28"/>
          <w:szCs w:val="28"/>
        </w:rPr>
        <w:t>第四章 聚焦核心任务，推动高质量发展</w:t>
      </w:r>
      <w:r>
        <w:rPr>
          <w:rFonts w:hint="eastAsia" w:ascii="Times New Roman" w:hAnsi="Times New Roman" w:eastAsia="方正小标宋_GBK" w:cs="Times New Roman"/>
          <w:color w:val="auto"/>
          <w:spacing w:val="6"/>
          <w:kern w:val="44"/>
          <w:sz w:val="28"/>
          <w:szCs w:val="28"/>
        </w:rPr>
        <w:tab/>
      </w:r>
      <w:r>
        <w:rPr>
          <w:rFonts w:hint="eastAsia" w:ascii="Times New Roman" w:hAnsi="Times New Roman" w:eastAsia="方正小标宋_GBK" w:cs="Times New Roman"/>
          <w:color w:val="auto"/>
          <w:spacing w:val="6"/>
          <w:kern w:val="44"/>
          <w:sz w:val="28"/>
          <w:szCs w:val="28"/>
        </w:rPr>
        <w:fldChar w:fldCharType="begin"/>
      </w:r>
      <w:r>
        <w:rPr>
          <w:rFonts w:hint="eastAsia" w:ascii="Times New Roman" w:hAnsi="Times New Roman" w:eastAsia="方正小标宋_GBK" w:cs="Times New Roman"/>
          <w:color w:val="auto"/>
          <w:spacing w:val="6"/>
          <w:kern w:val="44"/>
          <w:sz w:val="28"/>
          <w:szCs w:val="28"/>
        </w:rPr>
        <w:instrText xml:space="preserve"> PAGEREF _Toc18287 \h </w:instrText>
      </w:r>
      <w:r>
        <w:rPr>
          <w:rFonts w:hint="eastAsia" w:ascii="Times New Roman" w:hAnsi="Times New Roman" w:eastAsia="方正小标宋_GBK" w:cs="Times New Roman"/>
          <w:color w:val="auto"/>
          <w:spacing w:val="6"/>
          <w:kern w:val="44"/>
          <w:sz w:val="28"/>
          <w:szCs w:val="28"/>
        </w:rPr>
        <w:fldChar w:fldCharType="separate"/>
      </w:r>
      <w:r>
        <w:rPr>
          <w:rFonts w:hint="eastAsia" w:ascii="Times New Roman" w:hAnsi="Times New Roman" w:eastAsia="方正小标宋_GBK" w:cs="Times New Roman"/>
          <w:color w:val="auto"/>
          <w:spacing w:val="6"/>
          <w:kern w:val="44"/>
          <w:sz w:val="28"/>
          <w:szCs w:val="28"/>
        </w:rPr>
        <w:t>23</w:t>
      </w:r>
      <w:r>
        <w:rPr>
          <w:rFonts w:hint="eastAsia" w:ascii="Times New Roman" w:hAnsi="Times New Roman" w:eastAsia="方正小标宋_GBK" w:cs="Times New Roman"/>
          <w:color w:val="auto"/>
          <w:spacing w:val="6"/>
          <w:kern w:val="44"/>
          <w:sz w:val="28"/>
          <w:szCs w:val="28"/>
        </w:rPr>
        <w:fldChar w:fldCharType="end"/>
      </w:r>
      <w:r>
        <w:rPr>
          <w:rFonts w:hint="eastAsia" w:ascii="Times New Roman" w:hAnsi="Times New Roman" w:eastAsia="方正小标宋_GBK" w:cs="Times New Roman"/>
          <w:color w:val="auto"/>
          <w:spacing w:val="6"/>
          <w:kern w:val="44"/>
          <w:sz w:val="28"/>
          <w:szCs w:val="28"/>
        </w:rPr>
        <w:fldChar w:fldCharType="end"/>
      </w:r>
    </w:p>
    <w:p w14:paraId="3476818E">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_Toc31906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 xml:space="preserve">第一节 </w:t>
      </w:r>
      <w:r>
        <w:rPr>
          <w:rFonts w:hint="eastAsia" w:ascii="Times New Roman" w:hAnsi="Times New Roman" w:eastAsia="方正楷体_GBK" w:cs="Times New Roman"/>
          <w:color w:val="auto"/>
          <w:kern w:val="0"/>
          <w:sz w:val="28"/>
          <w:szCs w:val="28"/>
          <w:lang w:val="en-US" w:eastAsia="zh-CN"/>
        </w:rPr>
        <w:t>实施强基焕新工程</w:t>
      </w:r>
      <w:r>
        <w:rPr>
          <w:rFonts w:hint="eastAsia" w:ascii="Times New Roman" w:hAnsi="Times New Roman" w:eastAsia="方正楷体_GBK" w:cs="Times New Roman"/>
          <w:color w:val="auto"/>
          <w:kern w:val="0"/>
          <w:sz w:val="28"/>
          <w:szCs w:val="28"/>
          <w:lang w:val="zh-CN"/>
        </w:rPr>
        <w:t>，提升产业核心竞争力</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PAGEREF _Toc31906 \h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23</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1E379E9C">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_Toc28630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w:t>
      </w:r>
      <w:r>
        <w:rPr>
          <w:rFonts w:hint="eastAsia" w:ascii="Times New Roman" w:hAnsi="Times New Roman" w:eastAsia="方正楷体_GBK" w:cs="Times New Roman"/>
          <w:color w:val="auto"/>
          <w:kern w:val="0"/>
          <w:sz w:val="28"/>
          <w:szCs w:val="28"/>
          <w:lang w:val="zh-CN" w:eastAsia="zh-CN"/>
        </w:rPr>
        <w:t>二</w:t>
      </w:r>
      <w:r>
        <w:rPr>
          <w:rFonts w:hint="eastAsia" w:ascii="Times New Roman" w:hAnsi="Times New Roman" w:eastAsia="方正楷体_GBK" w:cs="Times New Roman"/>
          <w:color w:val="auto"/>
          <w:kern w:val="0"/>
          <w:sz w:val="28"/>
          <w:szCs w:val="28"/>
          <w:lang w:val="zh-CN"/>
        </w:rPr>
        <w:t xml:space="preserve">节 </w:t>
      </w:r>
      <w:r>
        <w:rPr>
          <w:rFonts w:hint="eastAsia" w:ascii="Times New Roman" w:hAnsi="Times New Roman" w:eastAsia="方正楷体_GBK" w:cs="Times New Roman"/>
          <w:color w:val="auto"/>
          <w:kern w:val="0"/>
          <w:sz w:val="28"/>
          <w:szCs w:val="28"/>
          <w:lang w:val="en-US" w:eastAsia="zh-CN"/>
        </w:rPr>
        <w:t>实施培大育强工程</w:t>
      </w:r>
      <w:r>
        <w:rPr>
          <w:rFonts w:hint="eastAsia" w:ascii="Times New Roman" w:hAnsi="Times New Roman" w:eastAsia="方正楷体_GBK" w:cs="Times New Roman"/>
          <w:color w:val="auto"/>
          <w:kern w:val="0"/>
          <w:sz w:val="28"/>
          <w:szCs w:val="28"/>
          <w:lang w:val="zh-CN"/>
        </w:rPr>
        <w:t>，</w:t>
      </w:r>
      <w:r>
        <w:rPr>
          <w:rFonts w:hint="eastAsia" w:ascii="Times New Roman" w:hAnsi="Times New Roman" w:eastAsia="方正楷体_GBK" w:cs="Times New Roman"/>
          <w:color w:val="auto"/>
          <w:kern w:val="0"/>
          <w:sz w:val="28"/>
          <w:szCs w:val="28"/>
          <w:lang w:val="en-US" w:eastAsia="zh-CN"/>
        </w:rPr>
        <w:t>提升产业</w:t>
      </w:r>
      <w:r>
        <w:rPr>
          <w:rFonts w:hint="eastAsia" w:ascii="Times New Roman" w:hAnsi="Times New Roman" w:eastAsia="方正楷体_GBK" w:cs="Times New Roman"/>
          <w:color w:val="auto"/>
          <w:kern w:val="0"/>
          <w:sz w:val="28"/>
          <w:szCs w:val="28"/>
          <w:lang w:val="zh-CN"/>
        </w:rPr>
        <w:t>主体活力</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PAGEREF _Toc28630 \h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25</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332DA983">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en-US" w:eastAsia="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_Toc18944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w:t>
      </w:r>
      <w:r>
        <w:rPr>
          <w:rFonts w:hint="eastAsia" w:ascii="Times New Roman" w:hAnsi="Times New Roman" w:eastAsia="方正楷体_GBK" w:cs="Times New Roman"/>
          <w:color w:val="auto"/>
          <w:kern w:val="0"/>
          <w:sz w:val="28"/>
          <w:szCs w:val="28"/>
          <w:lang w:val="zh-CN" w:eastAsia="zh-CN"/>
        </w:rPr>
        <w:t>三</w:t>
      </w:r>
      <w:r>
        <w:rPr>
          <w:rFonts w:hint="eastAsia" w:ascii="Times New Roman" w:hAnsi="Times New Roman" w:eastAsia="方正楷体_GBK" w:cs="Times New Roman"/>
          <w:color w:val="auto"/>
          <w:kern w:val="0"/>
          <w:sz w:val="28"/>
          <w:szCs w:val="28"/>
          <w:lang w:val="zh-CN"/>
        </w:rPr>
        <w:t xml:space="preserve">节 </w:t>
      </w:r>
      <w:r>
        <w:rPr>
          <w:rFonts w:hint="eastAsia" w:ascii="Times New Roman" w:hAnsi="Times New Roman" w:eastAsia="方正楷体_GBK" w:cs="Times New Roman"/>
          <w:color w:val="auto"/>
          <w:kern w:val="0"/>
          <w:sz w:val="28"/>
          <w:szCs w:val="28"/>
          <w:lang w:val="en-US" w:eastAsia="zh-CN"/>
        </w:rPr>
        <w:t>实施</w:t>
      </w:r>
      <w:r>
        <w:rPr>
          <w:rFonts w:hint="eastAsia" w:ascii="Times New Roman" w:hAnsi="Times New Roman" w:eastAsia="方正楷体_GBK" w:cs="Times New Roman"/>
          <w:color w:val="auto"/>
          <w:kern w:val="0"/>
          <w:sz w:val="28"/>
          <w:szCs w:val="28"/>
          <w:lang w:val="zh-CN"/>
        </w:rPr>
        <w:t>数智赋能</w:t>
      </w:r>
      <w:r>
        <w:rPr>
          <w:rFonts w:hint="eastAsia" w:ascii="Times New Roman" w:hAnsi="Times New Roman" w:eastAsia="方正楷体_GBK" w:cs="Times New Roman"/>
          <w:color w:val="auto"/>
          <w:kern w:val="0"/>
          <w:sz w:val="28"/>
          <w:szCs w:val="28"/>
          <w:lang w:val="en-US" w:eastAsia="zh-CN"/>
        </w:rPr>
        <w:t>工程</w:t>
      </w:r>
      <w:r>
        <w:rPr>
          <w:rFonts w:hint="eastAsia" w:ascii="Times New Roman" w:hAnsi="Times New Roman" w:eastAsia="方正楷体_GBK" w:cs="Times New Roman"/>
          <w:color w:val="auto"/>
          <w:kern w:val="0"/>
          <w:sz w:val="28"/>
          <w:szCs w:val="28"/>
          <w:lang w:val="zh-CN"/>
        </w:rPr>
        <w:t>，</w:t>
      </w:r>
      <w:r>
        <w:rPr>
          <w:rFonts w:hint="eastAsia" w:ascii="Times New Roman" w:hAnsi="Times New Roman" w:eastAsia="方正楷体_GBK" w:cs="Times New Roman"/>
          <w:color w:val="auto"/>
          <w:kern w:val="0"/>
          <w:sz w:val="28"/>
          <w:szCs w:val="28"/>
          <w:lang w:val="en-US" w:eastAsia="zh-CN"/>
        </w:rPr>
        <w:t>提升产业“智造”水平</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PAGEREF _Toc18944 \h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28</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2DB4DA80">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en-US" w:eastAsia="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_Toc7066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w:t>
      </w:r>
      <w:r>
        <w:rPr>
          <w:rFonts w:hint="eastAsia" w:ascii="Times New Roman" w:hAnsi="Times New Roman" w:eastAsia="方正楷体_GBK" w:cs="Times New Roman"/>
          <w:color w:val="auto"/>
          <w:kern w:val="0"/>
          <w:sz w:val="28"/>
          <w:szCs w:val="28"/>
          <w:lang w:val="zh-CN" w:eastAsia="zh-CN"/>
        </w:rPr>
        <w:t>四</w:t>
      </w:r>
      <w:r>
        <w:rPr>
          <w:rFonts w:hint="eastAsia" w:ascii="Times New Roman" w:hAnsi="Times New Roman" w:eastAsia="方正楷体_GBK" w:cs="Times New Roman"/>
          <w:color w:val="auto"/>
          <w:kern w:val="0"/>
          <w:sz w:val="28"/>
          <w:szCs w:val="28"/>
          <w:lang w:val="zh-CN"/>
        </w:rPr>
        <w:t xml:space="preserve">节 </w:t>
      </w:r>
      <w:r>
        <w:rPr>
          <w:rFonts w:hint="eastAsia" w:ascii="Times New Roman" w:hAnsi="Times New Roman" w:eastAsia="方正楷体_GBK" w:cs="Times New Roman"/>
          <w:color w:val="auto"/>
          <w:kern w:val="0"/>
          <w:sz w:val="28"/>
          <w:szCs w:val="28"/>
          <w:lang w:val="en-US" w:eastAsia="zh-CN"/>
        </w:rPr>
        <w:t>实施节能降碳工程</w:t>
      </w:r>
      <w:r>
        <w:rPr>
          <w:rFonts w:hint="eastAsia" w:ascii="Times New Roman" w:hAnsi="Times New Roman" w:eastAsia="方正楷体_GBK" w:cs="Times New Roman"/>
          <w:color w:val="auto"/>
          <w:kern w:val="0"/>
          <w:sz w:val="28"/>
          <w:szCs w:val="28"/>
          <w:lang w:val="zh-CN"/>
        </w:rPr>
        <w:t>，</w:t>
      </w:r>
      <w:r>
        <w:rPr>
          <w:rFonts w:hint="eastAsia" w:ascii="Times New Roman" w:hAnsi="Times New Roman" w:eastAsia="方正楷体_GBK" w:cs="Times New Roman"/>
          <w:color w:val="auto"/>
          <w:kern w:val="0"/>
          <w:sz w:val="28"/>
          <w:szCs w:val="28"/>
          <w:lang w:val="en-US" w:eastAsia="zh-CN"/>
        </w:rPr>
        <w:t>提升产业绿色制造水平</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PAGEREF _Toc7066 \h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31</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7A9FE7C0">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_Toc21558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 xml:space="preserve">第五节 </w:t>
      </w:r>
      <w:r>
        <w:rPr>
          <w:rFonts w:hint="eastAsia" w:ascii="Times New Roman" w:hAnsi="Times New Roman" w:eastAsia="方正楷体_GBK" w:cs="Times New Roman"/>
          <w:color w:val="auto"/>
          <w:kern w:val="0"/>
          <w:sz w:val="28"/>
          <w:szCs w:val="28"/>
          <w:lang w:val="en-US" w:eastAsia="zh-CN"/>
        </w:rPr>
        <w:t>实施园区升级工程</w:t>
      </w:r>
      <w:r>
        <w:rPr>
          <w:rFonts w:hint="eastAsia" w:ascii="Times New Roman" w:hAnsi="Times New Roman" w:eastAsia="方正楷体_GBK" w:cs="Times New Roman"/>
          <w:color w:val="auto"/>
          <w:kern w:val="0"/>
          <w:sz w:val="28"/>
          <w:szCs w:val="28"/>
          <w:lang w:val="zh-CN"/>
        </w:rPr>
        <w:t>，</w:t>
      </w:r>
      <w:r>
        <w:rPr>
          <w:rFonts w:hint="eastAsia" w:ascii="Times New Roman" w:hAnsi="Times New Roman" w:eastAsia="方正楷体_GBK" w:cs="Times New Roman"/>
          <w:color w:val="auto"/>
          <w:kern w:val="0"/>
          <w:sz w:val="28"/>
          <w:szCs w:val="28"/>
          <w:lang w:val="en-US" w:eastAsia="zh-CN"/>
        </w:rPr>
        <w:t>优化产业空间布局</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PAGEREF _Toc21558 \h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34</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67BD32FB">
      <w:pPr>
        <w:pStyle w:val="7"/>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小标宋_GBK" w:cs="Times New Roman"/>
          <w:color w:val="auto"/>
          <w:spacing w:val="6"/>
          <w:kern w:val="44"/>
          <w:sz w:val="28"/>
          <w:szCs w:val="28"/>
          <w:lang w:val="en-US" w:eastAsia="zh-CN"/>
        </w:rPr>
      </w:pPr>
      <w:r>
        <w:rPr>
          <w:rFonts w:hint="eastAsia" w:ascii="Times New Roman" w:hAnsi="Times New Roman" w:eastAsia="方正小标宋_GBK" w:cs="Times New Roman"/>
          <w:color w:val="auto"/>
          <w:spacing w:val="6"/>
          <w:kern w:val="44"/>
          <w:sz w:val="28"/>
          <w:szCs w:val="28"/>
        </w:rPr>
        <w:fldChar w:fldCharType="begin"/>
      </w:r>
      <w:r>
        <w:rPr>
          <w:rFonts w:hint="eastAsia" w:ascii="Times New Roman" w:hAnsi="Times New Roman" w:eastAsia="方正小标宋_GBK" w:cs="Times New Roman"/>
          <w:color w:val="auto"/>
          <w:spacing w:val="6"/>
          <w:kern w:val="44"/>
          <w:sz w:val="28"/>
          <w:szCs w:val="28"/>
        </w:rPr>
        <w:instrText xml:space="preserve"> HYPERLINK \l _Toc31001 </w:instrText>
      </w:r>
      <w:r>
        <w:rPr>
          <w:rFonts w:hint="eastAsia" w:ascii="Times New Roman" w:hAnsi="Times New Roman" w:eastAsia="方正小标宋_GBK" w:cs="Times New Roman"/>
          <w:color w:val="auto"/>
          <w:spacing w:val="6"/>
          <w:kern w:val="44"/>
          <w:sz w:val="28"/>
          <w:szCs w:val="28"/>
        </w:rPr>
        <w:fldChar w:fldCharType="separate"/>
      </w:r>
      <w:r>
        <w:rPr>
          <w:rFonts w:hint="eastAsia" w:ascii="Times New Roman" w:hAnsi="Times New Roman" w:eastAsia="方正小标宋_GBK" w:cs="Times New Roman"/>
          <w:color w:val="auto"/>
          <w:spacing w:val="6"/>
          <w:kern w:val="44"/>
          <w:sz w:val="28"/>
          <w:szCs w:val="28"/>
        </w:rPr>
        <w:t>第五章 实施保障措施</w:t>
      </w:r>
      <w:r>
        <w:rPr>
          <w:rFonts w:hint="eastAsia" w:ascii="Times New Roman" w:hAnsi="Times New Roman" w:eastAsia="方正小标宋_GBK" w:cs="Times New Roman"/>
          <w:color w:val="auto"/>
          <w:spacing w:val="6"/>
          <w:kern w:val="44"/>
          <w:sz w:val="28"/>
          <w:szCs w:val="28"/>
        </w:rPr>
        <w:tab/>
      </w:r>
      <w:r>
        <w:rPr>
          <w:rFonts w:hint="eastAsia" w:ascii="Times New Roman" w:hAnsi="Times New Roman" w:eastAsia="方正小标宋_GBK" w:cs="Times New Roman"/>
          <w:color w:val="auto"/>
          <w:spacing w:val="6"/>
          <w:kern w:val="44"/>
          <w:sz w:val="28"/>
          <w:szCs w:val="28"/>
        </w:rPr>
        <w:fldChar w:fldCharType="begin"/>
      </w:r>
      <w:r>
        <w:rPr>
          <w:rFonts w:hint="eastAsia" w:ascii="Times New Roman" w:hAnsi="Times New Roman" w:eastAsia="方正小标宋_GBK" w:cs="Times New Roman"/>
          <w:color w:val="auto"/>
          <w:spacing w:val="6"/>
          <w:kern w:val="44"/>
          <w:sz w:val="28"/>
          <w:szCs w:val="28"/>
        </w:rPr>
        <w:instrText xml:space="preserve"> PAGEREF _Toc31001 \h </w:instrText>
      </w:r>
      <w:r>
        <w:rPr>
          <w:rFonts w:hint="eastAsia" w:ascii="Times New Roman" w:hAnsi="Times New Roman" w:eastAsia="方正小标宋_GBK" w:cs="Times New Roman"/>
          <w:color w:val="auto"/>
          <w:spacing w:val="6"/>
          <w:kern w:val="44"/>
          <w:sz w:val="28"/>
          <w:szCs w:val="28"/>
        </w:rPr>
        <w:fldChar w:fldCharType="separate"/>
      </w:r>
      <w:r>
        <w:rPr>
          <w:rFonts w:hint="eastAsia" w:ascii="Times New Roman" w:hAnsi="Times New Roman" w:eastAsia="方正小标宋_GBK" w:cs="Times New Roman"/>
          <w:color w:val="auto"/>
          <w:spacing w:val="6"/>
          <w:kern w:val="44"/>
          <w:sz w:val="28"/>
          <w:szCs w:val="28"/>
        </w:rPr>
        <w:t>37</w:t>
      </w:r>
      <w:r>
        <w:rPr>
          <w:rFonts w:hint="eastAsia" w:ascii="Times New Roman" w:hAnsi="Times New Roman" w:eastAsia="方正小标宋_GBK" w:cs="Times New Roman"/>
          <w:color w:val="auto"/>
          <w:spacing w:val="6"/>
          <w:kern w:val="44"/>
          <w:sz w:val="28"/>
          <w:szCs w:val="28"/>
        </w:rPr>
        <w:fldChar w:fldCharType="end"/>
      </w:r>
      <w:r>
        <w:rPr>
          <w:rFonts w:hint="eastAsia" w:ascii="Times New Roman" w:hAnsi="Times New Roman" w:eastAsia="方正小标宋_GBK" w:cs="Times New Roman"/>
          <w:color w:val="auto"/>
          <w:spacing w:val="6"/>
          <w:kern w:val="44"/>
          <w:sz w:val="28"/>
          <w:szCs w:val="28"/>
        </w:rPr>
        <w:fldChar w:fldCharType="end"/>
      </w:r>
    </w:p>
    <w:p w14:paraId="4C7E5B10">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en-US" w:eastAsia="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_Toc22911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第一节 加强组织协调</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PAGEREF _Toc22911 \h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37</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0D0E8080">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en-US" w:eastAsia="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_Toc22921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第二节 强化政策支持</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PAGEREF _Toc22921 \h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37</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5A9BF09C">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zh-CN"/>
        </w:rPr>
        <w:sectPr>
          <w:footerReference r:id="rId3" w:type="default"/>
          <w:pgSz w:w="11906" w:h="16838"/>
          <w:pgMar w:top="2098" w:right="1474" w:bottom="1984" w:left="1587" w:header="851" w:footer="1191" w:gutter="0"/>
          <w:pgNumType w:fmt="numberInDash" w:start="1"/>
          <w:cols w:space="720" w:num="1"/>
          <w:docGrid w:type="lines" w:linePitch="312" w:charSpace="0"/>
        </w:sectPr>
      </w:pPr>
    </w:p>
    <w:p w14:paraId="04898D09">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en-US" w:eastAsia="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_Toc26335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第三节 优化要素保障</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PAGEREF _Toc26335 \h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38</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zh-CN"/>
        </w:rPr>
        <w:fldChar w:fldCharType="end"/>
      </w:r>
    </w:p>
    <w:p w14:paraId="158E5588">
      <w:pPr>
        <w:pStyle w:val="9"/>
        <w:keepNext w:val="0"/>
        <w:keepLines w:val="0"/>
        <w:pageBreakBefore w:val="0"/>
        <w:widowControl w:val="0"/>
        <w:tabs>
          <w:tab w:val="right" w:leader="dot" w:pos="8300"/>
        </w:tabs>
        <w:kinsoku/>
        <w:wordWrap/>
        <w:overflowPunct/>
        <w:topLinePunct w:val="0"/>
        <w:autoSpaceDE/>
        <w:autoSpaceDN/>
        <w:bidi w:val="0"/>
        <w:adjustRightInd/>
        <w:snapToGrid/>
        <w:spacing w:line="560" w:lineRule="exact"/>
        <w:textAlignment w:val="auto"/>
        <w:rPr>
          <w:rFonts w:hint="eastAsia" w:ascii="Times New Roman" w:hAnsi="Times New Roman" w:eastAsia="方正楷体_GBK" w:cs="Times New Roman"/>
          <w:color w:val="auto"/>
          <w:kern w:val="0"/>
          <w:sz w:val="28"/>
          <w:szCs w:val="28"/>
          <w:lang w:val="en-US" w:eastAsia="zh-CN"/>
        </w:rPr>
      </w:pPr>
      <w:r>
        <w:rPr>
          <w:rFonts w:hint="eastAsia" w:ascii="Times New Roman" w:hAnsi="Times New Roman" w:eastAsia="方正楷体_GBK" w:cs="Times New Roman"/>
          <w:color w:val="auto"/>
          <w:kern w:val="0"/>
          <w:sz w:val="28"/>
          <w:szCs w:val="28"/>
          <w:lang w:val="zh-CN"/>
        </w:rPr>
        <w:fldChar w:fldCharType="begin"/>
      </w:r>
      <w:r>
        <w:rPr>
          <w:rFonts w:hint="eastAsia" w:ascii="Times New Roman" w:hAnsi="Times New Roman" w:eastAsia="方正楷体_GBK" w:cs="Times New Roman"/>
          <w:color w:val="auto"/>
          <w:kern w:val="0"/>
          <w:sz w:val="28"/>
          <w:szCs w:val="28"/>
          <w:lang w:val="zh-CN"/>
        </w:rPr>
        <w:instrText xml:space="preserve"> HYPERLINK \l _Toc16001 </w:instrText>
      </w:r>
      <w:r>
        <w:rPr>
          <w:rFonts w:hint="eastAsia" w:ascii="Times New Roman" w:hAnsi="Times New Roman" w:eastAsia="方正楷体_GBK" w:cs="Times New Roman"/>
          <w:color w:val="auto"/>
          <w:kern w:val="0"/>
          <w:sz w:val="28"/>
          <w:szCs w:val="28"/>
          <w:lang w:val="zh-CN"/>
        </w:rPr>
        <w:fldChar w:fldCharType="separate"/>
      </w:r>
      <w:r>
        <w:rPr>
          <w:rFonts w:hint="eastAsia" w:ascii="Times New Roman" w:hAnsi="Times New Roman" w:eastAsia="方正楷体_GBK" w:cs="Times New Roman"/>
          <w:color w:val="auto"/>
          <w:kern w:val="0"/>
          <w:sz w:val="28"/>
          <w:szCs w:val="28"/>
          <w:lang w:val="zh-CN"/>
        </w:rPr>
        <w:t>第四节 健全监测评估机制</w:t>
      </w:r>
      <w:r>
        <w:rPr>
          <w:rFonts w:hint="eastAsia" w:ascii="Times New Roman" w:hAnsi="Times New Roman" w:eastAsia="方正楷体_GBK" w:cs="Times New Roman"/>
          <w:color w:val="auto"/>
          <w:kern w:val="0"/>
          <w:sz w:val="28"/>
          <w:szCs w:val="28"/>
          <w:lang w:val="zh-CN"/>
        </w:rPr>
        <w:tab/>
      </w:r>
      <w:r>
        <w:rPr>
          <w:rFonts w:hint="eastAsia" w:ascii="Times New Roman" w:hAnsi="Times New Roman" w:eastAsia="方正楷体_GBK" w:cs="Times New Roman"/>
          <w:color w:val="auto"/>
          <w:kern w:val="0"/>
          <w:sz w:val="28"/>
          <w:szCs w:val="28"/>
          <w:lang w:val="en-US" w:eastAsia="zh-CN"/>
        </w:rPr>
        <w:t>3</w:t>
      </w:r>
      <w:r>
        <w:rPr>
          <w:rFonts w:hint="eastAsia" w:ascii="Times New Roman" w:hAnsi="Times New Roman" w:eastAsia="方正楷体_GBK" w:cs="Times New Roman"/>
          <w:color w:val="auto"/>
          <w:kern w:val="0"/>
          <w:sz w:val="28"/>
          <w:szCs w:val="28"/>
          <w:lang w:val="zh-CN"/>
        </w:rPr>
        <w:fldChar w:fldCharType="end"/>
      </w:r>
      <w:r>
        <w:rPr>
          <w:rFonts w:hint="eastAsia" w:ascii="Times New Roman" w:hAnsi="Times New Roman" w:eastAsia="方正楷体_GBK" w:cs="Times New Roman"/>
          <w:color w:val="auto"/>
          <w:kern w:val="0"/>
          <w:sz w:val="28"/>
          <w:szCs w:val="28"/>
          <w:lang w:val="en-US" w:eastAsia="zh-CN"/>
        </w:rPr>
        <w:t>9</w:t>
      </w:r>
    </w:p>
    <w:p w14:paraId="1D5FC5CB">
      <w:pPr>
        <w:pStyle w:val="2"/>
        <w:rPr>
          <w:rFonts w:hint="eastAsia"/>
          <w:color w:val="auto"/>
        </w:rPr>
      </w:pPr>
      <w:r>
        <w:rPr>
          <w:rFonts w:hint="eastAsia"/>
          <w:color w:val="auto"/>
        </w:rPr>
        <w:fldChar w:fldCharType="end"/>
      </w:r>
    </w:p>
    <w:p w14:paraId="08CDC127">
      <w:pPr>
        <w:pStyle w:val="2"/>
        <w:rPr>
          <w:rFonts w:hint="eastAsia"/>
          <w:color w:val="auto"/>
        </w:rPr>
      </w:pPr>
    </w:p>
    <w:p w14:paraId="38E2C99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0"/>
        <w:rPr>
          <w:rFonts w:hint="eastAsia" w:ascii="黑体" w:hAnsi="黑体" w:eastAsia="黑体" w:cs="黑体"/>
          <w:color w:val="auto"/>
          <w:sz w:val="32"/>
          <w:szCs w:val="32"/>
          <w:highlight w:val="none"/>
        </w:rPr>
        <w:sectPr>
          <w:footerReference r:id="rId4" w:type="default"/>
          <w:pgSz w:w="11906" w:h="16838"/>
          <w:pgMar w:top="2098" w:right="1474" w:bottom="1984" w:left="1587" w:header="851" w:footer="1191" w:gutter="0"/>
          <w:pgNumType w:fmt="numberInDash" w:start="1"/>
          <w:cols w:space="720" w:num="1"/>
          <w:docGrid w:type="lines" w:linePitch="312" w:charSpace="0"/>
        </w:sectPr>
      </w:pPr>
      <w:bookmarkStart w:id="4" w:name="_Toc8297"/>
    </w:p>
    <w:p w14:paraId="41EAE735">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lang w:val="en-US" w:eastAsia="zh-CN" w:bidi="ar-SA"/>
        </w:rPr>
      </w:pPr>
    </w:p>
    <w:p w14:paraId="630D39EC">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rPr>
      </w:pPr>
      <w:r>
        <w:rPr>
          <w:rFonts w:hint="eastAsia" w:ascii="Times New Roman" w:hAnsi="Times New Roman" w:eastAsia="方正小标宋_GBK" w:cs="Times New Roman"/>
          <w:color w:val="auto"/>
          <w:spacing w:val="11"/>
          <w:kern w:val="44"/>
          <w:sz w:val="36"/>
          <w:szCs w:val="36"/>
          <w:lang w:val="en-US" w:eastAsia="zh-CN" w:bidi="ar-SA"/>
        </w:rPr>
        <w:t xml:space="preserve">第一章 </w:t>
      </w:r>
      <w:r>
        <w:rPr>
          <w:rFonts w:hint="eastAsia" w:ascii="Times New Roman" w:hAnsi="Times New Roman" w:eastAsia="方正小标宋_GBK" w:cs="Times New Roman"/>
          <w:color w:val="auto"/>
          <w:spacing w:val="11"/>
          <w:kern w:val="44"/>
          <w:sz w:val="36"/>
          <w:szCs w:val="36"/>
        </w:rPr>
        <w:t>发展基础与环境</w:t>
      </w:r>
      <w:bookmarkEnd w:id="3"/>
      <w:bookmarkEnd w:id="4"/>
    </w:p>
    <w:p w14:paraId="1D6932A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5" w:name="_Toc20050"/>
      <w:bookmarkStart w:id="6" w:name="_Toc18626"/>
      <w:r>
        <w:rPr>
          <w:rFonts w:hint="eastAsia" w:ascii="Times New Roman" w:hAnsi="Times New Roman" w:eastAsia="黑体" w:cs="Times New Roman"/>
          <w:color w:val="auto"/>
          <w:sz w:val="32"/>
          <w:szCs w:val="32"/>
          <w:highlight w:val="none"/>
        </w:rPr>
        <w:t>第一节 “十四五”时期发展回顾</w:t>
      </w:r>
      <w:bookmarkEnd w:id="5"/>
      <w:bookmarkEnd w:id="6"/>
    </w:p>
    <w:p w14:paraId="64E9C6A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十四五”以来，全区工业和信息化系统坚持稳中求进工作总基调，以供给侧结构性改革为主线，以创新驱动和转型升级为动力，成功应对多种风险挑战实现稳健增长，工业经济的韧性和活力充分彰显，为全区经济社会发展提供了坚实支撑。</w:t>
      </w:r>
    </w:p>
    <w:p w14:paraId="23BA1D4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eastAsia" w:ascii="楷体" w:hAnsi="楷体" w:eastAsia="楷体" w:cs="楷体"/>
          <w:color w:val="auto"/>
          <w:sz w:val="32"/>
          <w:szCs w:val="32"/>
          <w:highlight w:val="none"/>
        </w:rPr>
      </w:pPr>
      <w:bookmarkStart w:id="7" w:name="_Toc1677"/>
      <w:r>
        <w:rPr>
          <w:rFonts w:hint="eastAsia" w:ascii="楷体" w:hAnsi="楷体" w:eastAsia="楷体" w:cs="楷体"/>
          <w:color w:val="auto"/>
          <w:sz w:val="32"/>
          <w:szCs w:val="32"/>
          <w:highlight w:val="none"/>
        </w:rPr>
        <w:t>（一）主要成效与亮点</w:t>
      </w:r>
      <w:bookmarkEnd w:id="7"/>
    </w:p>
    <w:p w14:paraId="7044084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楷体" w:hAnsi="楷体" w:eastAsia="楷体" w:cs="楷体"/>
          <w:color w:val="auto"/>
          <w:sz w:val="32"/>
          <w:szCs w:val="32"/>
          <w:highlight w:val="none"/>
        </w:rPr>
        <w:t>1.工业经济规模持续壮大，综合性实力稳步提升。</w:t>
      </w:r>
      <w:r>
        <w:rPr>
          <w:rFonts w:hint="eastAsia" w:ascii="方正仿宋_GBK" w:hAnsi="方正仿宋_GBK" w:eastAsia="方正仿宋_GBK" w:cs="方正仿宋_GBK"/>
          <w:color w:val="auto"/>
          <w:sz w:val="32"/>
          <w:szCs w:val="32"/>
          <w:highlight w:val="none"/>
        </w:rPr>
        <w:t>“十四五”期间，全区工业经济</w:t>
      </w:r>
      <w:r>
        <w:rPr>
          <w:rFonts w:hint="eastAsia" w:ascii="方正仿宋_GBK" w:hAnsi="方正仿宋_GBK" w:eastAsia="方正仿宋_GBK" w:cs="方正仿宋_GBK"/>
          <w:color w:val="auto"/>
          <w:sz w:val="32"/>
          <w:szCs w:val="32"/>
          <w:highlight w:val="none"/>
          <w:lang w:val="en-US" w:eastAsia="zh-CN"/>
        </w:rPr>
        <w:t>克服疫情冲击、中美贸易战等外部环境不利的影响，</w:t>
      </w:r>
      <w:r>
        <w:rPr>
          <w:rFonts w:hint="eastAsia" w:ascii="方正仿宋_GBK" w:hAnsi="方正仿宋_GBK" w:eastAsia="方正仿宋_GBK" w:cs="方正仿宋_GBK"/>
          <w:color w:val="auto"/>
          <w:sz w:val="32"/>
          <w:szCs w:val="32"/>
          <w:highlight w:val="none"/>
        </w:rPr>
        <w:t>主要指标实现稳步增长。</w:t>
      </w:r>
      <w:r>
        <w:rPr>
          <w:rFonts w:hint="eastAsia" w:ascii="方正仿宋_GBK" w:hAnsi="方正仿宋_GBK" w:eastAsia="方正仿宋_GBK" w:cs="方正仿宋_GBK"/>
          <w:color w:val="auto"/>
          <w:sz w:val="32"/>
          <w:szCs w:val="32"/>
          <w:highlight w:val="none"/>
          <w:lang w:val="en-US" w:eastAsia="zh-CN"/>
        </w:rPr>
        <w:t>到2025年底，全区实现征收期全部工业开票销售1057.8亿元，较2020年的714亿元增长了48.2%，年均增长速度8.2%。工业入库税金30.7亿元，较2020年的23.3亿元增长了31.8%，年均增长5.7%。制造业增加值占GDP的比重达29.8%。出台</w:t>
      </w:r>
      <w:r>
        <w:rPr>
          <w:rFonts w:hint="eastAsia" w:ascii="方正仿宋_GBK" w:hAnsi="方正仿宋_GBK" w:eastAsia="方正仿宋_GBK" w:cs="方正仿宋_GBK"/>
          <w:color w:val="auto"/>
          <w:sz w:val="32"/>
          <w:szCs w:val="32"/>
          <w:highlight w:val="none"/>
        </w:rPr>
        <w:t>《工业企业培大育强“111”三年行动计划（2021-2023）》</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培育</w:t>
      </w:r>
      <w:r>
        <w:rPr>
          <w:rFonts w:hint="eastAsia" w:ascii="方正仿宋_GBK" w:hAnsi="方正仿宋_GBK" w:eastAsia="方正仿宋_GBK" w:cs="方正仿宋_GBK"/>
          <w:color w:val="auto"/>
          <w:sz w:val="32"/>
          <w:szCs w:val="32"/>
          <w:highlight w:val="none"/>
        </w:rPr>
        <w:t>重点企业成效显著，到2025年底，区级“十强、重点、成长型”共60家企业实现产值</w:t>
      </w:r>
      <w:r>
        <w:rPr>
          <w:rFonts w:hint="eastAsia" w:ascii="方正仿宋_GBK" w:hAnsi="方正仿宋_GBK" w:eastAsia="方正仿宋_GBK" w:cs="方正仿宋_GBK"/>
          <w:color w:val="auto"/>
          <w:sz w:val="32"/>
          <w:szCs w:val="32"/>
          <w:highlight w:val="none"/>
          <w:lang w:val="en-US" w:eastAsia="zh-CN"/>
        </w:rPr>
        <w:t>488.5</w:t>
      </w:r>
      <w:r>
        <w:rPr>
          <w:rFonts w:hint="eastAsia" w:ascii="方正仿宋_GBK" w:hAnsi="方正仿宋_GBK" w:eastAsia="方正仿宋_GBK" w:cs="方正仿宋_GBK"/>
          <w:color w:val="auto"/>
          <w:sz w:val="32"/>
          <w:szCs w:val="32"/>
          <w:highlight w:val="none"/>
        </w:rPr>
        <w:t>亿元，较2020年增长了</w:t>
      </w:r>
      <w:r>
        <w:rPr>
          <w:rFonts w:hint="eastAsia" w:ascii="方正仿宋_GBK" w:hAnsi="方正仿宋_GBK" w:eastAsia="方正仿宋_GBK" w:cs="方正仿宋_GBK"/>
          <w:color w:val="auto"/>
          <w:sz w:val="32"/>
          <w:szCs w:val="32"/>
          <w:highlight w:val="none"/>
          <w:lang w:val="en-US" w:eastAsia="zh-CN"/>
        </w:rPr>
        <w:t>62.7</w:t>
      </w:r>
      <w:r>
        <w:rPr>
          <w:rFonts w:hint="eastAsia" w:ascii="方正仿宋_GBK" w:hAnsi="方正仿宋_GBK" w:eastAsia="方正仿宋_GBK" w:cs="方正仿宋_GBK"/>
          <w:color w:val="auto"/>
          <w:sz w:val="32"/>
          <w:szCs w:val="32"/>
          <w:highlight w:val="none"/>
        </w:rPr>
        <w:t>%，双登1家企业开票销售过50亿元</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中来光电、精锻科技、苏中药业等9家企业开票销售10-50亿元，亿元以上企业150家，</w:t>
      </w:r>
      <w:r>
        <w:rPr>
          <w:rFonts w:hint="eastAsia" w:ascii="方正仿宋_GBK" w:hAnsi="方正仿宋_GBK" w:eastAsia="方正仿宋_GBK" w:cs="方正仿宋_GBK"/>
          <w:color w:val="auto"/>
          <w:sz w:val="32"/>
          <w:szCs w:val="32"/>
          <w:highlight w:val="none"/>
        </w:rPr>
        <w:t>成为拉动工业增长的重要引擎</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规模以上工业企业数量达到70</w:t>
      </w:r>
      <w:r>
        <w:rPr>
          <w:rFonts w:hint="eastAsia" w:ascii="方正仿宋_GBK" w:hAnsi="方正仿宋_GBK" w:eastAsia="方正仿宋_GBK" w:cs="方正仿宋_GBK"/>
          <w:color w:val="auto"/>
          <w:sz w:val="32"/>
          <w:szCs w:val="32"/>
          <w:highlight w:val="none"/>
          <w:lang w:val="en-US" w:eastAsia="zh-CN"/>
        </w:rPr>
        <w:t>9</w:t>
      </w:r>
      <w:r>
        <w:rPr>
          <w:rFonts w:hint="eastAsia" w:ascii="方正仿宋_GBK" w:hAnsi="方正仿宋_GBK" w:eastAsia="方正仿宋_GBK" w:cs="方正仿宋_GBK"/>
          <w:color w:val="auto"/>
          <w:sz w:val="32"/>
          <w:szCs w:val="32"/>
          <w:highlight w:val="none"/>
        </w:rPr>
        <w:t>家，较2020年的472家净增23</w:t>
      </w: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双登集团、中裕科技、扬电科技等企业成功上市，累计上市企业达4家。</w:t>
      </w:r>
    </w:p>
    <w:p w14:paraId="5ED1F3E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bookmarkStart w:id="8" w:name="_Toc184134623"/>
      <w:bookmarkStart w:id="9" w:name="_Toc184134122"/>
      <w:bookmarkStart w:id="10" w:name="_Toc186713382"/>
      <w:bookmarkStart w:id="11" w:name="_Toc184134411"/>
      <w:bookmarkStart w:id="12" w:name="_Toc29876"/>
      <w:bookmarkStart w:id="13" w:name="_Toc184134685"/>
      <w:r>
        <w:rPr>
          <w:rFonts w:hint="eastAsia" w:ascii="楷体" w:hAnsi="楷体" w:eastAsia="楷体" w:cs="楷体"/>
          <w:color w:val="auto"/>
          <w:sz w:val="32"/>
          <w:szCs w:val="32"/>
          <w:highlight w:val="none"/>
        </w:rPr>
        <w:t>2.产业结构优化步伐加快，现代化体系初步构建。</w:t>
      </w:r>
      <w:r>
        <w:rPr>
          <w:rFonts w:hint="eastAsia" w:ascii="楷体" w:hAnsi="楷体" w:eastAsia="楷体" w:cs="楷体"/>
          <w:color w:val="auto"/>
          <w:sz w:val="32"/>
          <w:szCs w:val="32"/>
          <w:highlight w:val="none"/>
          <w:lang w:val="en-US" w:eastAsia="zh-CN"/>
        </w:rPr>
        <w:t>出台</w:t>
      </w:r>
      <w:r>
        <w:rPr>
          <w:rFonts w:hint="eastAsia" w:ascii="方正仿宋_GBK" w:hAnsi="方正仿宋_GBK" w:eastAsia="方正仿宋_GBK" w:cs="方正仿宋_GBK"/>
          <w:color w:val="auto"/>
          <w:sz w:val="32"/>
          <w:szCs w:val="32"/>
          <w:highlight w:val="none"/>
        </w:rPr>
        <w:t>《大力实施“双提”工程、深化“亩均论英雄”改革工作的实施意见（2021-2023）（试行）》</w:t>
      </w:r>
      <w:r>
        <w:rPr>
          <w:rFonts w:hint="eastAsia" w:ascii="方正仿宋_GBK" w:hAnsi="方正仿宋_GBK" w:eastAsia="方正仿宋_GBK" w:cs="方正仿宋_GBK"/>
          <w:color w:val="auto"/>
          <w:sz w:val="32"/>
          <w:szCs w:val="32"/>
          <w:highlight w:val="none"/>
          <w:lang w:eastAsia="zh-CN"/>
        </w:rPr>
        <w:t>、《姜堰区五大重点行业环境污染整治提升专项行动实施方案》</w:t>
      </w:r>
      <w:r>
        <w:rPr>
          <w:rFonts w:hint="eastAsia" w:ascii="方正仿宋_GBK" w:hAnsi="方正仿宋_GBK" w:eastAsia="方正仿宋_GBK" w:cs="方正仿宋_GBK"/>
          <w:color w:val="auto"/>
          <w:sz w:val="32"/>
          <w:szCs w:val="32"/>
          <w:highlight w:val="none"/>
          <w:lang w:val="en-US" w:eastAsia="zh-CN"/>
        </w:rPr>
        <w:t>等文件，</w:t>
      </w:r>
      <w:r>
        <w:rPr>
          <w:rFonts w:hint="eastAsia" w:ascii="方正仿宋_GBK" w:hAnsi="方正仿宋_GBK" w:eastAsia="方正仿宋_GBK" w:cs="方正仿宋_GBK"/>
          <w:color w:val="auto"/>
          <w:sz w:val="32"/>
          <w:szCs w:val="32"/>
          <w:highlight w:val="none"/>
        </w:rPr>
        <w:t>先后实施“亩均论英雄”</w:t>
      </w:r>
      <w:r>
        <w:rPr>
          <w:rFonts w:hint="eastAsia" w:ascii="方正仿宋_GBK" w:hAnsi="方正仿宋_GBK" w:eastAsia="方正仿宋_GBK" w:cs="方正仿宋_GBK"/>
          <w:color w:val="auto"/>
          <w:sz w:val="32"/>
          <w:szCs w:val="32"/>
          <w:highlight w:val="none"/>
          <w:lang w:val="en-US" w:eastAsia="zh-CN"/>
        </w:rPr>
        <w:t>双提</w:t>
      </w:r>
      <w:r>
        <w:rPr>
          <w:rFonts w:hint="eastAsia" w:ascii="方正仿宋_GBK" w:hAnsi="方正仿宋_GBK" w:eastAsia="方正仿宋_GBK" w:cs="方正仿宋_GBK"/>
          <w:color w:val="auto"/>
          <w:sz w:val="32"/>
          <w:szCs w:val="32"/>
          <w:highlight w:val="none"/>
        </w:rPr>
        <w:t>改革、“1+5重点行业整治”等专项行动，倒逼落后产能退出和资源优化配置</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5年内盘活存量闲置低效土地12640亩</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五年内淘汰机械、铸造、轻工等行业落后低端、低效产能4.57万吨、光伏行业低效产能300MW、纺织行业低端产能1.86万锭；开展铸造行业环保专项整治，89家企业退出铸造工艺，107家企业实现了环保专项整治达标；深入推进化工行业安全环保专项整治，2019年以来又关闭退出化工生产企业13家，全区化工生产企业数从“十三五”初的81家压减到15家。出台《关于加快重点产业集群、培育发展的工作意见》，区委、区政府负责人牵头成立专班，推行链长工作制度，引进了擎朗机器人、航菱微等一批新兴产业项目，2025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2+2+X</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产业占全区规上工业产值的比重达6</w:t>
      </w:r>
      <w:r>
        <w:rPr>
          <w:rFonts w:hint="eastAsia" w:ascii="方正仿宋_GBK" w:hAnsi="方正仿宋_GBK" w:eastAsia="方正仿宋_GBK" w:cs="方正仿宋_GBK"/>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蒋垛绿色高温耐火新材料、经济开发区的车船轨交产业集群创成省级中小企业特色产业集群，</w:t>
      </w:r>
      <w:r>
        <w:rPr>
          <w:rFonts w:hint="eastAsia" w:ascii="方正仿宋_GBK" w:hAnsi="方正仿宋_GBK" w:eastAsia="方正仿宋_GBK" w:cs="方正仿宋_GBK"/>
          <w:color w:val="auto"/>
          <w:sz w:val="32"/>
          <w:szCs w:val="32"/>
          <w:highlight w:val="none"/>
        </w:rPr>
        <w:t>产业集聚效应日益凸显。</w:t>
      </w:r>
    </w:p>
    <w:p w14:paraId="65B0F2A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楷体" w:hAnsi="楷体" w:eastAsia="楷体" w:cs="楷体"/>
          <w:color w:val="auto"/>
          <w:sz w:val="32"/>
          <w:szCs w:val="32"/>
          <w:highlight w:val="none"/>
        </w:rPr>
        <w:t>3.绿色制造体系加速构建，可持续发展能力增强。</w:t>
      </w:r>
      <w:r>
        <w:rPr>
          <w:rFonts w:hint="eastAsia" w:ascii="方正仿宋_GBK" w:hAnsi="方正仿宋_GBK" w:eastAsia="方正仿宋_GBK" w:cs="方正仿宋_GBK"/>
          <w:color w:val="auto"/>
          <w:sz w:val="32"/>
          <w:szCs w:val="32"/>
          <w:highlight w:val="none"/>
        </w:rPr>
        <w:t>将绿色发展理念贯穿于工业生产全过程。通过推广清洁能源应用、实施节能技术改造、采用先进低碳工艺等手段，持续降低单位工业增加值能耗和污染物排放强度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2025年全区单位GDP化石能耗比2020年下降23.2%，年均下降5.15 %，超额完成规划目标</w:t>
      </w:r>
      <w:r>
        <w:rPr>
          <w:rFonts w:hint="eastAsia" w:ascii="方正仿宋_GBK" w:hAnsi="方正仿宋_GBK" w:eastAsia="方正仿宋_GBK" w:cs="方正仿宋_GBK"/>
          <w:color w:val="auto"/>
          <w:sz w:val="32"/>
          <w:szCs w:val="32"/>
          <w:highlight w:val="none"/>
        </w:rPr>
        <w:t>。激励企业创建绿色工厂、绿色供应链管理企业和绿色设计产品。202</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年底，全区累计创成国家级</w:t>
      </w:r>
      <w:r>
        <w:rPr>
          <w:rFonts w:hint="eastAsia" w:ascii="方正仿宋_GBK" w:hAnsi="方正仿宋_GBK" w:eastAsia="方正仿宋_GBK" w:cs="方正仿宋_GBK"/>
          <w:color w:val="auto"/>
          <w:sz w:val="32"/>
          <w:szCs w:val="32"/>
          <w:highlight w:val="none"/>
          <w:lang w:eastAsia="zh-CN"/>
        </w:rPr>
        <w:t>绿色工业园区</w:t>
      </w:r>
      <w:r>
        <w:rPr>
          <w:rFonts w:hint="eastAsia" w:ascii="方正仿宋_GBK" w:hAnsi="方正仿宋_GBK" w:eastAsia="方正仿宋_GBK" w:cs="方正仿宋_GBK"/>
          <w:color w:val="auto"/>
          <w:sz w:val="32"/>
          <w:szCs w:val="32"/>
          <w:highlight w:val="none"/>
          <w:lang w:val="en-US" w:eastAsia="zh-CN"/>
        </w:rPr>
        <w:t>1家、省级绿色工业园区2家、国家级</w:t>
      </w:r>
      <w:r>
        <w:rPr>
          <w:rFonts w:hint="eastAsia" w:ascii="方正仿宋_GBK" w:hAnsi="方正仿宋_GBK" w:eastAsia="方正仿宋_GBK" w:cs="方正仿宋_GBK"/>
          <w:color w:val="auto"/>
          <w:sz w:val="32"/>
          <w:szCs w:val="32"/>
          <w:highlight w:val="none"/>
        </w:rPr>
        <w:t>绿色工</w:t>
      </w:r>
      <w:r>
        <w:rPr>
          <w:rFonts w:hint="eastAsia" w:ascii="方正仿宋_GBK" w:hAnsi="方正仿宋_GBK" w:eastAsia="方正仿宋_GBK" w:cs="方正仿宋_GBK"/>
          <w:color w:val="auto"/>
          <w:sz w:val="32"/>
          <w:szCs w:val="32"/>
          <w:highlight w:val="none"/>
          <w:lang w:val="en-US" w:eastAsia="zh-CN"/>
        </w:rPr>
        <w:t>厂11家、省级绿色工厂53家</w:t>
      </w:r>
      <w:r>
        <w:rPr>
          <w:rFonts w:hint="eastAsia" w:ascii="方正仿宋_GBK" w:hAnsi="方正仿宋_GBK" w:eastAsia="方正仿宋_GBK" w:cs="方正仿宋_GBK"/>
          <w:color w:val="auto"/>
          <w:sz w:val="32"/>
          <w:szCs w:val="32"/>
          <w:highlight w:val="none"/>
        </w:rPr>
        <w:t>，较“十三五”末期分别增加</w:t>
      </w: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家和</w:t>
      </w:r>
      <w:r>
        <w:rPr>
          <w:rFonts w:hint="eastAsia" w:ascii="方正仿宋_GBK" w:hAnsi="方正仿宋_GBK" w:eastAsia="方正仿宋_GBK" w:cs="方正仿宋_GBK"/>
          <w:color w:val="auto"/>
          <w:sz w:val="32"/>
          <w:szCs w:val="32"/>
          <w:highlight w:val="none"/>
          <w:lang w:val="en-US" w:eastAsia="zh-CN"/>
        </w:rPr>
        <w:t>50</w:t>
      </w:r>
      <w:r>
        <w:rPr>
          <w:rFonts w:hint="eastAsia" w:ascii="方正仿宋_GBK" w:hAnsi="方正仿宋_GBK" w:eastAsia="方正仿宋_GBK" w:cs="方正仿宋_GBK"/>
          <w:color w:val="auto"/>
          <w:sz w:val="32"/>
          <w:szCs w:val="32"/>
          <w:highlight w:val="none"/>
        </w:rPr>
        <w:t>家。</w:t>
      </w:r>
      <w:r>
        <w:rPr>
          <w:rFonts w:hint="eastAsia" w:ascii="方正仿宋_GBK" w:hAnsi="方正仿宋_GBK" w:eastAsia="方正仿宋_GBK" w:cs="方正仿宋_GBK"/>
          <w:color w:val="auto"/>
          <w:sz w:val="32"/>
          <w:szCs w:val="32"/>
          <w:highlight w:val="none"/>
          <w:lang w:val="en-US" w:eastAsia="zh-CN"/>
        </w:rPr>
        <w:t>省级以上</w:t>
      </w:r>
      <w:r>
        <w:rPr>
          <w:rFonts w:hint="eastAsia" w:ascii="方正仿宋_GBK" w:hAnsi="方正仿宋_GBK" w:eastAsia="方正仿宋_GBK" w:cs="方正仿宋_GBK"/>
          <w:color w:val="auto"/>
          <w:sz w:val="32"/>
          <w:szCs w:val="32"/>
          <w:highlight w:val="none"/>
        </w:rPr>
        <w:t>绿色工厂占规上工业企业比重为</w:t>
      </w:r>
      <w:r>
        <w:rPr>
          <w:rFonts w:hint="eastAsia" w:ascii="方正仿宋_GBK" w:hAnsi="方正仿宋_GBK" w:eastAsia="方正仿宋_GBK" w:cs="方正仿宋_GBK"/>
          <w:color w:val="auto"/>
          <w:sz w:val="32"/>
          <w:szCs w:val="32"/>
          <w:highlight w:val="none"/>
          <w:lang w:val="en-US" w:eastAsia="zh-CN"/>
        </w:rPr>
        <w:t>8.18</w:t>
      </w:r>
      <w:r>
        <w:rPr>
          <w:rFonts w:hint="eastAsia" w:ascii="方正仿宋_GBK" w:hAnsi="方正仿宋_GBK" w:eastAsia="方正仿宋_GBK" w:cs="方正仿宋_GBK"/>
          <w:color w:val="auto"/>
          <w:sz w:val="32"/>
          <w:szCs w:val="32"/>
          <w:highlight w:val="none"/>
        </w:rPr>
        <w:t>%，高于全市平均水平，初步建成覆盖全区多处重要点位的绿色制造体系。</w:t>
      </w:r>
    </w:p>
    <w:p w14:paraId="78D8B88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eastAsia" w:ascii="楷体" w:hAnsi="楷体" w:eastAsia="楷体" w:cs="楷体"/>
          <w:color w:val="auto"/>
          <w:sz w:val="32"/>
          <w:szCs w:val="32"/>
          <w:highlight w:val="none"/>
        </w:rPr>
        <w:t>4.企业创新能力显著提升，创新型企业梯队日益壮大。</w:t>
      </w:r>
      <w:r>
        <w:rPr>
          <w:rFonts w:hint="eastAsia" w:ascii="方正仿宋_GBK" w:hAnsi="方正仿宋_GBK" w:eastAsia="方正仿宋_GBK" w:cs="方正仿宋_GBK"/>
          <w:color w:val="auto"/>
          <w:sz w:val="32"/>
          <w:szCs w:val="32"/>
          <w:highlight w:val="none"/>
        </w:rPr>
        <w:t>企业研发投入持续加大，技术创新平台建设稳步推进，产学研合作日益紧密，一批关键核心技术实现突破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到2025年，全区创成国家级企业技术中心2家，省级企业技术中心64家，累计389个产品获得省工信厅新产品、新工艺认证，12个产品获得省级首台套装备认证，</w:t>
      </w:r>
      <w:r>
        <w:rPr>
          <w:rFonts w:hint="eastAsia" w:ascii="方正仿宋_GBK" w:hAnsi="方正仿宋_GBK" w:eastAsia="方正仿宋_GBK" w:cs="方正仿宋_GBK"/>
          <w:color w:val="auto"/>
          <w:sz w:val="32"/>
          <w:szCs w:val="32"/>
          <w:highlight w:val="none"/>
        </w:rPr>
        <w:t>为产业升级注入了强劲动能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构建了覆盖创新型中小企业、省级专精特新中小企业、国家级专精特新“小巨人”企业和制造业单项冠军企业的梯度培育体系。202</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年底，</w:t>
      </w:r>
      <w:r>
        <w:rPr>
          <w:rFonts w:hint="eastAsia" w:ascii="方正仿宋_GBK" w:hAnsi="方正仿宋_GBK" w:eastAsia="方正仿宋_GBK" w:cs="方正仿宋_GBK"/>
          <w:color w:val="auto"/>
          <w:sz w:val="32"/>
          <w:szCs w:val="32"/>
          <w:highlight w:val="none"/>
          <w:lang w:val="en-US" w:eastAsia="zh-CN"/>
        </w:rPr>
        <w:t>精锻科技、双登集团、中来光电、五行科技等4家企业创成</w:t>
      </w:r>
      <w:r>
        <w:rPr>
          <w:rFonts w:hint="eastAsia" w:ascii="方正仿宋_GBK" w:hAnsi="方正仿宋_GBK" w:eastAsia="方正仿宋_GBK" w:cs="方正仿宋_GBK"/>
          <w:color w:val="auto"/>
          <w:sz w:val="32"/>
          <w:szCs w:val="32"/>
          <w:highlight w:val="none"/>
        </w:rPr>
        <w:t>国家制造业单项冠军企业，</w:t>
      </w:r>
      <w:r>
        <w:rPr>
          <w:rFonts w:hint="eastAsia" w:ascii="方正仿宋_GBK" w:hAnsi="方正仿宋_GBK" w:eastAsia="方正仿宋_GBK" w:cs="方正仿宋_GBK"/>
          <w:color w:val="auto"/>
          <w:sz w:val="32"/>
          <w:szCs w:val="32"/>
          <w:highlight w:val="none"/>
          <w:lang w:val="en-US" w:eastAsia="zh-CN"/>
        </w:rPr>
        <w:t>振华海科、中裕科技等30家企业创成</w:t>
      </w:r>
      <w:r>
        <w:rPr>
          <w:rFonts w:hint="eastAsia" w:ascii="方正仿宋_GBK" w:hAnsi="方正仿宋_GBK" w:eastAsia="方正仿宋_GBK" w:cs="方正仿宋_GBK"/>
          <w:color w:val="auto"/>
          <w:sz w:val="32"/>
          <w:szCs w:val="32"/>
          <w:highlight w:val="none"/>
        </w:rPr>
        <w:t>国家级专精特新“小巨人”企业，</w:t>
      </w:r>
      <w:r>
        <w:rPr>
          <w:rFonts w:hint="eastAsia" w:ascii="方正仿宋_GBK" w:hAnsi="方正仿宋_GBK" w:eastAsia="方正仿宋_GBK" w:cs="方正仿宋_GBK"/>
          <w:color w:val="auto"/>
          <w:sz w:val="32"/>
          <w:szCs w:val="32"/>
          <w:highlight w:val="none"/>
          <w:lang w:val="en-US" w:eastAsia="zh-CN"/>
        </w:rPr>
        <w:t>201家企业创成</w:t>
      </w:r>
      <w:r>
        <w:rPr>
          <w:rFonts w:hint="eastAsia" w:ascii="方正仿宋_GBK" w:hAnsi="方正仿宋_GBK" w:eastAsia="方正仿宋_GBK" w:cs="方正仿宋_GBK"/>
          <w:color w:val="auto"/>
          <w:sz w:val="32"/>
          <w:szCs w:val="32"/>
          <w:highlight w:val="none"/>
        </w:rPr>
        <w:t>省级专精特新中小企业，</w:t>
      </w:r>
      <w:r>
        <w:rPr>
          <w:rFonts w:hint="eastAsia" w:ascii="方正仿宋_GBK" w:hAnsi="方正仿宋_GBK" w:eastAsia="方正仿宋_GBK" w:cs="方正仿宋_GBK"/>
          <w:color w:val="auto"/>
          <w:sz w:val="32"/>
          <w:szCs w:val="32"/>
          <w:highlight w:val="none"/>
          <w:lang w:val="en-US" w:eastAsia="zh-CN"/>
        </w:rPr>
        <w:t>单冠和国专</w:t>
      </w:r>
      <w:r>
        <w:rPr>
          <w:rFonts w:hint="eastAsia" w:ascii="方正仿宋_GBK" w:hAnsi="方正仿宋_GBK" w:eastAsia="方正仿宋_GBK" w:cs="方正仿宋_GBK"/>
          <w:color w:val="auto"/>
          <w:sz w:val="32"/>
          <w:szCs w:val="32"/>
          <w:highlight w:val="none"/>
        </w:rPr>
        <w:t>数量在全市排名靠前。</w:t>
      </w:r>
      <w:r>
        <w:rPr>
          <w:rFonts w:hint="eastAsia" w:ascii="方正仿宋_GBK" w:hAnsi="方正仿宋_GBK" w:eastAsia="方正仿宋_GBK" w:cs="方正仿宋_GBK"/>
          <w:color w:val="auto"/>
          <w:sz w:val="32"/>
          <w:szCs w:val="32"/>
          <w:highlight w:val="none"/>
          <w:lang w:val="en-US" w:eastAsia="zh-CN"/>
        </w:rPr>
        <w:t>泰州赛宝创成省三星级公共服务平台。</w:t>
      </w:r>
    </w:p>
    <w:p w14:paraId="3C621B2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楷体" w:hAnsi="楷体" w:eastAsia="楷体" w:cs="楷体"/>
          <w:color w:val="auto"/>
          <w:sz w:val="32"/>
          <w:szCs w:val="32"/>
          <w:highlight w:val="none"/>
        </w:rPr>
        <w:t>5.智能制造赋能成效凸显，数字化转型纵深推进。</w:t>
      </w:r>
      <w:r>
        <w:rPr>
          <w:rFonts w:hint="eastAsia" w:ascii="方正仿宋_GBK" w:hAnsi="方正仿宋_GBK" w:eastAsia="方正仿宋_GBK" w:cs="方正仿宋_GBK"/>
          <w:color w:val="auto"/>
          <w:sz w:val="32"/>
          <w:szCs w:val="32"/>
          <w:highlight w:val="none"/>
          <w:lang w:val="en-US" w:eastAsia="zh-CN"/>
        </w:rPr>
        <w:t>出台《姜堰区制造业“智改数转”三年行动计划（2022-2024年）》政策，</w:t>
      </w:r>
      <w:r>
        <w:rPr>
          <w:rFonts w:hint="eastAsia" w:ascii="方正仿宋_GBK" w:hAnsi="方正仿宋_GBK" w:eastAsia="方正仿宋_GBK" w:cs="方正仿宋_GBK"/>
          <w:color w:val="auto"/>
          <w:sz w:val="32"/>
          <w:szCs w:val="32"/>
          <w:highlight w:val="none"/>
        </w:rPr>
        <w:t>以“智改数转网联”为主攻方向，推动制造业与互联网、大数据、人工智能深度融合。</w:t>
      </w:r>
      <w:r>
        <w:rPr>
          <w:rFonts w:hint="eastAsia" w:ascii="方正仿宋_GBK" w:hAnsi="方正仿宋_GBK" w:eastAsia="方正仿宋_GBK" w:cs="方正仿宋_GBK"/>
          <w:color w:val="auto"/>
          <w:sz w:val="32"/>
          <w:szCs w:val="32"/>
          <w:highlight w:val="none"/>
          <w:lang w:val="en-US" w:eastAsia="zh-CN"/>
        </w:rPr>
        <w:t>到2025年底，602家规上企业实行了智改数转体检，</w:t>
      </w:r>
      <w:r>
        <w:rPr>
          <w:rFonts w:hint="eastAsia" w:ascii="方正仿宋_GBK" w:hAnsi="方正仿宋_GBK" w:eastAsia="方正仿宋_GBK" w:cs="方正仿宋_GBK"/>
          <w:color w:val="auto"/>
          <w:sz w:val="32"/>
          <w:szCs w:val="32"/>
          <w:highlight w:val="none"/>
        </w:rPr>
        <w:t>累计实施智能化数字化项目超1000项，超过560家企业开展了不同层次的“智改数转网联”实践</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累计培育五星级上云企业20家、四星级56家、三星级406家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通过两化融合管理体系贯标的企业达到164家。2025年，随着自上而下的智改数转体系改革，我区积极转变培育思路，着力引导有一定基础的企业加大投入，新增国家5G工厂1家，创成卓越级智能工厂1家、先进级智能工厂21家。</w:t>
      </w:r>
    </w:p>
    <w:p w14:paraId="4E0D4ACE">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2"/>
        <w:rPr>
          <w:rFonts w:hint="eastAsia" w:ascii="楷体" w:hAnsi="楷体" w:eastAsia="楷体" w:cs="楷体"/>
          <w:snapToGrid w:val="0"/>
          <w:color w:val="auto"/>
          <w:kern w:val="0"/>
          <w:sz w:val="32"/>
          <w:szCs w:val="32"/>
          <w:highlight w:val="none"/>
        </w:rPr>
      </w:pPr>
      <w:bookmarkStart w:id="14" w:name="_Toc29173"/>
      <w:r>
        <w:rPr>
          <w:rFonts w:hint="eastAsia" w:ascii="楷体" w:hAnsi="楷体" w:eastAsia="楷体" w:cs="楷体"/>
          <w:snapToGrid w:val="0"/>
          <w:color w:val="auto"/>
          <w:kern w:val="0"/>
          <w:sz w:val="32"/>
          <w:szCs w:val="32"/>
          <w:highlight w:val="none"/>
        </w:rPr>
        <w:t>（二）主要目标完成情况</w:t>
      </w:r>
      <w:bookmarkEnd w:id="8"/>
      <w:bookmarkEnd w:id="9"/>
      <w:bookmarkEnd w:id="10"/>
      <w:bookmarkEnd w:id="11"/>
      <w:bookmarkEnd w:id="12"/>
      <w:bookmarkEnd w:id="13"/>
      <w:bookmarkEnd w:id="14"/>
    </w:p>
    <w:p w14:paraId="4E2C219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对照《姜堰区工业和信息化“十四五”发展规划》设定的目标，大部分指标预计能够顺利完成或接近完成。部分指标因受外部环境影响，存在一定困难。</w:t>
      </w:r>
    </w:p>
    <w:p w14:paraId="001E69ED">
      <w:pPr>
        <w:snapToGrid w:val="0"/>
        <w:jc w:val="both"/>
        <w:rPr>
          <w:rFonts w:hint="eastAsia" w:ascii="Times New Roman" w:hAnsi="Times New Roman" w:eastAsia="黑体" w:cs="黑体"/>
          <w:color w:val="auto"/>
          <w:sz w:val="24"/>
          <w:highlight w:val="none"/>
        </w:rPr>
      </w:pPr>
    </w:p>
    <w:p w14:paraId="6B23D9BD">
      <w:pPr>
        <w:snapToGrid w:val="0"/>
        <w:jc w:val="center"/>
        <w:rPr>
          <w:rFonts w:hint="eastAsia" w:ascii="Times New Roman" w:hAnsi="Times New Roman" w:eastAsia="黑体" w:cs="黑体"/>
          <w:color w:val="auto"/>
          <w:sz w:val="24"/>
          <w:highlight w:val="none"/>
        </w:rPr>
      </w:pPr>
      <w:r>
        <w:rPr>
          <w:rFonts w:hint="eastAsia" w:ascii="Times New Roman" w:hAnsi="Times New Roman" w:eastAsia="黑体" w:cs="黑体"/>
          <w:color w:val="auto"/>
          <w:sz w:val="24"/>
          <w:highlight w:val="none"/>
        </w:rPr>
        <w:t>表1“十四五”时期工业和信息化主要指标计划及完成情况表</w:t>
      </w:r>
    </w:p>
    <w:tbl>
      <w:tblPr>
        <w:tblStyle w:val="11"/>
        <w:tblW w:w="8565" w:type="dxa"/>
        <w:tblInd w:w="0" w:type="dxa"/>
        <w:tblLayout w:type="fixed"/>
        <w:tblCellMar>
          <w:top w:w="0" w:type="dxa"/>
          <w:left w:w="0" w:type="dxa"/>
          <w:bottom w:w="0" w:type="dxa"/>
          <w:right w:w="0" w:type="dxa"/>
        </w:tblCellMar>
      </w:tblPr>
      <w:tblGrid>
        <w:gridCol w:w="1440"/>
        <w:gridCol w:w="2464"/>
        <w:gridCol w:w="2398"/>
        <w:gridCol w:w="2263"/>
      </w:tblGrid>
      <w:tr w14:paraId="30BCF5A5">
        <w:tblPrEx>
          <w:tblCellMar>
            <w:top w:w="0" w:type="dxa"/>
            <w:left w:w="0" w:type="dxa"/>
            <w:bottom w:w="0" w:type="dxa"/>
            <w:right w:w="0" w:type="dxa"/>
          </w:tblCellMar>
        </w:tblPrEx>
        <w:trPr>
          <w:trHeight w:val="441" w:hRule="atLeast"/>
        </w:trPr>
        <w:tc>
          <w:tcPr>
            <w:tcW w:w="3904"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14:paraId="2561502F">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指标</w:t>
            </w:r>
          </w:p>
        </w:tc>
        <w:tc>
          <w:tcPr>
            <w:tcW w:w="2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D99D7B5">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2020年</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928B08">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2025年</w:t>
            </w:r>
            <w:r>
              <w:rPr>
                <w:rFonts w:hint="eastAsia" w:ascii="宋体" w:hAnsi="宋体" w:eastAsia="宋体" w:cs="宋体"/>
                <w:color w:val="auto"/>
                <w:kern w:val="0"/>
                <w:sz w:val="22"/>
                <w:szCs w:val="22"/>
                <w:highlight w:val="none"/>
                <w:lang w:bidi="ar"/>
              </w:rPr>
              <w:t>完成情况</w:t>
            </w:r>
          </w:p>
        </w:tc>
      </w:tr>
      <w:tr w14:paraId="453A53EE">
        <w:tblPrEx>
          <w:tblCellMar>
            <w:top w:w="0" w:type="dxa"/>
            <w:left w:w="0" w:type="dxa"/>
            <w:bottom w:w="0" w:type="dxa"/>
            <w:right w:w="0" w:type="dxa"/>
          </w:tblCellMar>
        </w:tblPrEx>
        <w:trPr>
          <w:trHeight w:val="454" w:hRule="atLeast"/>
        </w:trPr>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2EF056">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工业经济主要指标</w:t>
            </w:r>
          </w:p>
        </w:tc>
        <w:tc>
          <w:tcPr>
            <w:tcW w:w="246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390038B2">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征收期全部工业开票销售</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8A7922">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714</w:t>
            </w:r>
            <w:r>
              <w:rPr>
                <w:rFonts w:hint="eastAsia" w:ascii="宋体" w:hAnsi="宋体" w:eastAsia="宋体" w:cs="宋体"/>
                <w:color w:val="auto"/>
                <w:kern w:val="0"/>
                <w:sz w:val="22"/>
                <w:szCs w:val="22"/>
                <w:highlight w:val="none"/>
                <w:lang w:eastAsia="zh-CN" w:bidi="ar"/>
              </w:rPr>
              <w:t>亿元</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F573CF">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lang w:val="en-US" w:eastAsia="zh-CN"/>
              </w:rPr>
              <w:t>57.8亿元</w:t>
            </w:r>
          </w:p>
        </w:tc>
      </w:tr>
      <w:tr w14:paraId="142B6DB9">
        <w:tblPrEx>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8D3F4E">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1E4F7A9E">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规上企业数</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93AA7C">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389</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1EDB9">
            <w:pPr>
              <w:jc w:val="center"/>
              <w:textAlignment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709家</w:t>
            </w:r>
          </w:p>
        </w:tc>
      </w:tr>
      <w:tr w14:paraId="014B6992">
        <w:tblPrEx>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4A8293">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88B1A1D">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规上工业产值</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8AD775">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459.61</w:t>
            </w:r>
            <w:r>
              <w:rPr>
                <w:rFonts w:hint="eastAsia" w:ascii="宋体" w:hAnsi="宋体" w:eastAsia="宋体" w:cs="宋体"/>
                <w:color w:val="auto"/>
                <w:kern w:val="0"/>
                <w:sz w:val="22"/>
                <w:szCs w:val="22"/>
                <w:highlight w:val="none"/>
                <w:lang w:eastAsia="zh-CN" w:bidi="ar"/>
              </w:rPr>
              <w:t>亿元</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97B6D">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9</w:t>
            </w:r>
            <w:r>
              <w:rPr>
                <w:rFonts w:hint="eastAsia" w:ascii="宋体" w:hAnsi="宋体" w:eastAsia="宋体" w:cs="宋体"/>
                <w:color w:val="auto"/>
                <w:sz w:val="22"/>
                <w:szCs w:val="22"/>
                <w:highlight w:val="none"/>
                <w:lang w:val="en-US" w:eastAsia="zh-CN"/>
              </w:rPr>
              <w:t>17.5亿元</w:t>
            </w:r>
          </w:p>
        </w:tc>
      </w:tr>
      <w:tr w14:paraId="6CE17BE6">
        <w:tblPrEx>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C46C3D">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68239937">
            <w:pPr>
              <w:keepNext w:val="0"/>
              <w:keepLines w:val="0"/>
              <w:pageBreakBefore w:val="0"/>
              <w:widowControl w:val="0"/>
              <w:suppressLineNumbers w:val="0"/>
              <w:kinsoku/>
              <w:wordWrap/>
              <w:overflowPunct/>
              <w:topLinePunct w:val="0"/>
              <w:autoSpaceDE/>
              <w:autoSpaceDN/>
              <w:bidi w:val="0"/>
              <w:adjustRightInd/>
              <w:spacing w:line="240" w:lineRule="auto"/>
              <w:jc w:val="both"/>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shd w:val="clear" w:color="auto" w:fill="auto"/>
                <w:lang w:val="en-US" w:eastAsia="zh-CN" w:bidi="ar"/>
              </w:rPr>
              <w:t>规上工业增加值可比增幅</w:t>
            </w:r>
          </w:p>
        </w:tc>
        <w:tc>
          <w:tcPr>
            <w:tcW w:w="2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3E9690">
            <w:pPr>
              <w:keepNext w:val="0"/>
              <w:keepLines w:val="0"/>
              <w:pageBreakBefore w:val="0"/>
              <w:widowControl w:val="0"/>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i w:val="0"/>
                <w:color w:val="auto"/>
                <w:kern w:val="2"/>
                <w:sz w:val="22"/>
                <w:szCs w:val="22"/>
                <w:highlight w:val="none"/>
                <w:u w:val="none"/>
                <w:lang w:val="en-US" w:eastAsia="zh-CN" w:bidi="ar-SA"/>
              </w:rPr>
            </w:pPr>
            <w:r>
              <w:rPr>
                <w:rFonts w:hint="eastAsia" w:ascii="宋体" w:hAnsi="宋体" w:eastAsia="宋体" w:cs="宋体"/>
                <w:i w:val="0"/>
                <w:color w:val="auto"/>
                <w:kern w:val="0"/>
                <w:sz w:val="22"/>
                <w:szCs w:val="22"/>
                <w:highlight w:val="none"/>
                <w:u w:val="none"/>
                <w:lang w:val="en-US" w:eastAsia="zh-CN" w:bidi="ar"/>
              </w:rPr>
              <w:t>4%</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2C092D">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i w:val="0"/>
                <w:color w:val="auto"/>
                <w:sz w:val="22"/>
                <w:szCs w:val="22"/>
                <w:highlight w:val="none"/>
                <w:u w:val="none"/>
                <w:lang w:val="en-US" w:eastAsia="zh-CN"/>
              </w:rPr>
              <w:t>8.4</w:t>
            </w:r>
            <w:r>
              <w:rPr>
                <w:rFonts w:hint="eastAsia" w:ascii="宋体" w:hAnsi="宋体" w:eastAsia="宋体" w:cs="宋体"/>
                <w:i w:val="0"/>
                <w:color w:val="auto"/>
                <w:sz w:val="22"/>
                <w:szCs w:val="22"/>
                <w:highlight w:val="none"/>
                <w:u w:val="none"/>
                <w:lang w:val="en-US" w:eastAsia="zh-CN"/>
              </w:rPr>
              <w:t>%</w:t>
            </w:r>
          </w:p>
        </w:tc>
      </w:tr>
      <w:tr w14:paraId="1359669F">
        <w:tblPrEx>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9C678">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68BD63C">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规上工业利润</w:t>
            </w:r>
          </w:p>
        </w:tc>
        <w:tc>
          <w:tcPr>
            <w:tcW w:w="2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32E7C9">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21.63</w:t>
            </w:r>
            <w:r>
              <w:rPr>
                <w:rFonts w:hint="eastAsia" w:ascii="宋体" w:hAnsi="宋体" w:eastAsia="宋体" w:cs="宋体"/>
                <w:color w:val="auto"/>
                <w:kern w:val="0"/>
                <w:sz w:val="22"/>
                <w:szCs w:val="22"/>
                <w:highlight w:val="none"/>
                <w:lang w:eastAsia="zh-CN" w:bidi="ar"/>
              </w:rPr>
              <w:t>亿元</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C6D428">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4.9亿元</w:t>
            </w:r>
          </w:p>
        </w:tc>
      </w:tr>
      <w:tr w14:paraId="4F875ACF">
        <w:tblPrEx>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C6BA2">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0780EA89">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入库税金</w:t>
            </w:r>
          </w:p>
        </w:tc>
        <w:tc>
          <w:tcPr>
            <w:tcW w:w="2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A78410">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23.28</w:t>
            </w:r>
            <w:r>
              <w:rPr>
                <w:rFonts w:hint="eastAsia" w:ascii="宋体" w:hAnsi="宋体" w:eastAsia="宋体" w:cs="宋体"/>
                <w:color w:val="auto"/>
                <w:kern w:val="0"/>
                <w:sz w:val="22"/>
                <w:szCs w:val="22"/>
                <w:highlight w:val="none"/>
                <w:lang w:eastAsia="zh-CN" w:bidi="ar"/>
              </w:rPr>
              <w:t>亿元</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F74357">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30.7亿元</w:t>
            </w:r>
          </w:p>
        </w:tc>
      </w:tr>
      <w:tr w14:paraId="16B925AB">
        <w:tblPrEx>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2038D">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4C295C1C">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用电量</w:t>
            </w:r>
          </w:p>
        </w:tc>
        <w:tc>
          <w:tcPr>
            <w:tcW w:w="2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FC7A14">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23.49</w:t>
            </w:r>
            <w:r>
              <w:rPr>
                <w:rFonts w:hint="eastAsia" w:ascii="宋体" w:hAnsi="宋体" w:eastAsia="宋体" w:cs="宋体"/>
                <w:color w:val="auto"/>
                <w:kern w:val="0"/>
                <w:sz w:val="22"/>
                <w:szCs w:val="22"/>
                <w:highlight w:val="none"/>
                <w:lang w:eastAsia="zh-CN" w:bidi="ar"/>
              </w:rPr>
              <w:t>亿度</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01E806">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7.6亿度</w:t>
            </w:r>
          </w:p>
        </w:tc>
      </w:tr>
      <w:tr w14:paraId="5E50EA50">
        <w:tblPrEx>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AC44A">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3259E0A">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工业投资总量</w:t>
            </w:r>
          </w:p>
        </w:tc>
        <w:tc>
          <w:tcPr>
            <w:tcW w:w="239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910BFBB">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121</w:t>
            </w:r>
            <w:r>
              <w:rPr>
                <w:rFonts w:hint="eastAsia" w:ascii="宋体" w:hAnsi="宋体" w:eastAsia="宋体" w:cs="宋体"/>
                <w:color w:val="auto"/>
                <w:kern w:val="0"/>
                <w:sz w:val="22"/>
                <w:szCs w:val="22"/>
                <w:highlight w:val="none"/>
                <w:lang w:eastAsia="zh-CN" w:bidi="ar"/>
              </w:rPr>
              <w:t>亿元</w:t>
            </w:r>
          </w:p>
        </w:tc>
        <w:tc>
          <w:tcPr>
            <w:tcW w:w="226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7787D5E">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135.7亿元</w:t>
            </w:r>
          </w:p>
        </w:tc>
      </w:tr>
      <w:tr w14:paraId="23D81A6E">
        <w:tblPrEx>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3D35F69">
            <w:pPr>
              <w:jc w:val="center"/>
              <w:rPr>
                <w:rFonts w:hint="eastAsia" w:ascii="宋体" w:hAnsi="宋体" w:eastAsia="宋体" w:cs="宋体"/>
                <w:color w:val="auto"/>
                <w:sz w:val="22"/>
                <w:szCs w:val="22"/>
                <w:highlight w:val="none"/>
              </w:rPr>
            </w:pPr>
          </w:p>
        </w:tc>
        <w:tc>
          <w:tcPr>
            <w:tcW w:w="246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682211">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制造业增加值占GDP比重</w:t>
            </w:r>
          </w:p>
        </w:tc>
        <w:tc>
          <w:tcPr>
            <w:tcW w:w="23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241DDF01">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35.06%</w:t>
            </w:r>
          </w:p>
        </w:tc>
        <w:tc>
          <w:tcPr>
            <w:tcW w:w="22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FC46685">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29.8%</w:t>
            </w:r>
          </w:p>
        </w:tc>
      </w:tr>
      <w:tr w14:paraId="38CFFBC1">
        <w:tblPrEx>
          <w:tblCellMar>
            <w:top w:w="0" w:type="dxa"/>
            <w:left w:w="0" w:type="dxa"/>
            <w:bottom w:w="0" w:type="dxa"/>
            <w:right w:w="0" w:type="dxa"/>
          </w:tblCellMar>
        </w:tblPrEx>
        <w:trPr>
          <w:trHeight w:val="454" w:hRule="atLeast"/>
        </w:trPr>
        <w:tc>
          <w:tcPr>
            <w:tcW w:w="1440" w:type="dxa"/>
            <w:vMerge w:val="restart"/>
            <w:tcBorders>
              <w:left w:val="single" w:color="000000" w:sz="4" w:space="0"/>
              <w:right w:val="single" w:color="000000" w:sz="4" w:space="0"/>
            </w:tcBorders>
            <w:noWrap w:val="0"/>
            <w:tcMar>
              <w:top w:w="15" w:type="dxa"/>
              <w:left w:w="15" w:type="dxa"/>
              <w:right w:w="15" w:type="dxa"/>
            </w:tcMar>
            <w:vAlign w:val="center"/>
          </w:tcPr>
          <w:p w14:paraId="7D3D8858">
            <w:pPr>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一区两园开票销售</w:t>
            </w:r>
          </w:p>
        </w:tc>
        <w:tc>
          <w:tcPr>
            <w:tcW w:w="2464"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59DD50EB">
            <w:pP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经济开发区</w:t>
            </w:r>
          </w:p>
        </w:tc>
        <w:tc>
          <w:tcPr>
            <w:tcW w:w="2398" w:type="dxa"/>
            <w:tcBorders>
              <w:top w:val="single" w:color="auto" w:sz="4" w:space="0"/>
              <w:left w:val="single" w:color="000000" w:sz="4" w:space="0"/>
              <w:bottom w:val="nil"/>
              <w:right w:val="single" w:color="000000" w:sz="4" w:space="0"/>
            </w:tcBorders>
            <w:noWrap/>
            <w:tcMar>
              <w:top w:w="15" w:type="dxa"/>
              <w:left w:w="15" w:type="dxa"/>
              <w:right w:w="15" w:type="dxa"/>
            </w:tcMar>
            <w:vAlign w:val="center"/>
          </w:tcPr>
          <w:p w14:paraId="6817004B">
            <w:pPr>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kern w:val="0"/>
                <w:sz w:val="22"/>
                <w:szCs w:val="22"/>
                <w:highlight w:val="none"/>
                <w:lang w:bidi="ar"/>
              </w:rPr>
              <w:t>231.74</w:t>
            </w:r>
            <w:r>
              <w:rPr>
                <w:rFonts w:hint="eastAsia" w:ascii="宋体" w:hAnsi="宋体" w:eastAsia="宋体" w:cs="宋体"/>
                <w:color w:val="auto"/>
                <w:kern w:val="0"/>
                <w:sz w:val="22"/>
                <w:szCs w:val="22"/>
                <w:highlight w:val="none"/>
                <w:lang w:eastAsia="zh-CN" w:bidi="ar"/>
              </w:rPr>
              <w:t>亿元</w:t>
            </w:r>
          </w:p>
        </w:tc>
        <w:tc>
          <w:tcPr>
            <w:tcW w:w="2263" w:type="dxa"/>
            <w:tcBorders>
              <w:top w:val="single" w:color="auto" w:sz="4" w:space="0"/>
              <w:left w:val="single" w:color="000000" w:sz="4" w:space="0"/>
              <w:bottom w:val="nil"/>
              <w:right w:val="single" w:color="000000" w:sz="4" w:space="0"/>
            </w:tcBorders>
            <w:noWrap w:val="0"/>
            <w:tcMar>
              <w:top w:w="15" w:type="dxa"/>
              <w:left w:w="15" w:type="dxa"/>
              <w:right w:w="15" w:type="dxa"/>
            </w:tcMar>
            <w:vAlign w:val="center"/>
          </w:tcPr>
          <w:p w14:paraId="513979C0">
            <w:pPr>
              <w:jc w:val="center"/>
              <w:textAlignment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360.5亿元</w:t>
            </w:r>
          </w:p>
        </w:tc>
      </w:tr>
      <w:tr w14:paraId="76D5F1B3">
        <w:tblPrEx>
          <w:tblCellMar>
            <w:top w:w="0" w:type="dxa"/>
            <w:left w:w="0" w:type="dxa"/>
            <w:bottom w:w="0" w:type="dxa"/>
            <w:right w:w="0" w:type="dxa"/>
          </w:tblCellMar>
        </w:tblPrEx>
        <w:trPr>
          <w:trHeight w:val="454" w:hRule="atLeast"/>
        </w:trPr>
        <w:tc>
          <w:tcPr>
            <w:tcW w:w="1440" w:type="dxa"/>
            <w:vMerge w:val="continue"/>
            <w:tcBorders>
              <w:left w:val="single" w:color="000000" w:sz="4" w:space="0"/>
              <w:right w:val="single" w:color="000000" w:sz="4" w:space="0"/>
            </w:tcBorders>
            <w:noWrap w:val="0"/>
            <w:tcMar>
              <w:top w:w="15" w:type="dxa"/>
              <w:left w:w="15" w:type="dxa"/>
              <w:right w:w="15" w:type="dxa"/>
            </w:tcMar>
            <w:vAlign w:val="center"/>
          </w:tcPr>
          <w:p w14:paraId="216BEE41">
            <w:pPr>
              <w:jc w:val="center"/>
              <w:rPr>
                <w:rFonts w:hint="eastAsia" w:ascii="宋体" w:hAnsi="宋体" w:eastAsia="宋体" w:cs="宋体"/>
                <w:color w:val="auto"/>
                <w:sz w:val="22"/>
                <w:szCs w:val="22"/>
                <w:highlight w:val="none"/>
              </w:rPr>
            </w:pPr>
          </w:p>
        </w:tc>
        <w:tc>
          <w:tcPr>
            <w:tcW w:w="246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D10CBB0">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高新技术产业园区</w:t>
            </w:r>
          </w:p>
        </w:tc>
        <w:tc>
          <w:tcPr>
            <w:tcW w:w="239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264B632B">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115.14</w:t>
            </w:r>
            <w:r>
              <w:rPr>
                <w:rFonts w:hint="eastAsia" w:ascii="宋体" w:hAnsi="宋体" w:eastAsia="宋体" w:cs="宋体"/>
                <w:color w:val="auto"/>
                <w:kern w:val="0"/>
                <w:sz w:val="22"/>
                <w:szCs w:val="22"/>
                <w:highlight w:val="none"/>
                <w:lang w:eastAsia="zh-CN" w:bidi="ar"/>
              </w:rPr>
              <w:t>亿元</w:t>
            </w:r>
          </w:p>
        </w:tc>
        <w:tc>
          <w:tcPr>
            <w:tcW w:w="226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2429413">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150.7亿元</w:t>
            </w:r>
          </w:p>
        </w:tc>
      </w:tr>
      <w:tr w14:paraId="32DB48E0">
        <w:tblPrEx>
          <w:tblCellMar>
            <w:top w:w="0" w:type="dxa"/>
            <w:left w:w="0" w:type="dxa"/>
            <w:bottom w:w="0" w:type="dxa"/>
            <w:right w:w="0" w:type="dxa"/>
          </w:tblCellMar>
        </w:tblPrEx>
        <w:trPr>
          <w:trHeight w:val="454" w:hRule="atLeast"/>
        </w:trPr>
        <w:tc>
          <w:tcPr>
            <w:tcW w:w="14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63E00FE">
            <w:pPr>
              <w:jc w:val="center"/>
              <w:rPr>
                <w:rFonts w:hint="eastAsia" w:ascii="宋体" w:hAnsi="宋体" w:eastAsia="宋体" w:cs="宋体"/>
                <w:color w:val="auto"/>
                <w:sz w:val="22"/>
                <w:szCs w:val="22"/>
                <w:highlight w:val="none"/>
              </w:rPr>
            </w:pPr>
          </w:p>
        </w:tc>
        <w:tc>
          <w:tcPr>
            <w:tcW w:w="246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79CCC4">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装备园区</w:t>
            </w:r>
          </w:p>
        </w:tc>
        <w:tc>
          <w:tcPr>
            <w:tcW w:w="239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14:paraId="11EA8AF3">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47.64</w:t>
            </w:r>
            <w:r>
              <w:rPr>
                <w:rFonts w:hint="eastAsia" w:ascii="宋体" w:hAnsi="宋体" w:eastAsia="宋体" w:cs="宋体"/>
                <w:color w:val="auto"/>
                <w:kern w:val="0"/>
                <w:sz w:val="22"/>
                <w:szCs w:val="22"/>
                <w:highlight w:val="none"/>
                <w:lang w:eastAsia="zh-CN" w:bidi="ar"/>
              </w:rPr>
              <w:t>亿元</w:t>
            </w:r>
          </w:p>
        </w:tc>
        <w:tc>
          <w:tcPr>
            <w:tcW w:w="226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557646">
            <w:pPr>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96.5亿元</w:t>
            </w:r>
          </w:p>
        </w:tc>
      </w:tr>
      <w:tr w14:paraId="31112444">
        <w:tblPrEx>
          <w:tblCellMar>
            <w:top w:w="0" w:type="dxa"/>
            <w:left w:w="0" w:type="dxa"/>
            <w:bottom w:w="0" w:type="dxa"/>
            <w:right w:w="0" w:type="dxa"/>
          </w:tblCellMar>
        </w:tblPrEx>
        <w:trPr>
          <w:trHeight w:val="454" w:hRule="atLeast"/>
        </w:trPr>
        <w:tc>
          <w:tcPr>
            <w:tcW w:w="144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71AC1EB5">
            <w:pPr>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培大育强</w:t>
            </w:r>
          </w:p>
        </w:tc>
        <w:tc>
          <w:tcPr>
            <w:tcW w:w="2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C5E472">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开票销售亿元以上企业数</w:t>
            </w:r>
          </w:p>
        </w:tc>
        <w:tc>
          <w:tcPr>
            <w:tcW w:w="2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CB6C6">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105</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ACF052">
            <w:pPr>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150家</w:t>
            </w:r>
          </w:p>
        </w:tc>
      </w:tr>
      <w:tr w14:paraId="3DA25C27">
        <w:tblPrEx>
          <w:tblCellMar>
            <w:top w:w="0" w:type="dxa"/>
            <w:left w:w="0" w:type="dxa"/>
            <w:bottom w:w="0" w:type="dxa"/>
            <w:right w:w="0" w:type="dxa"/>
          </w:tblCellMar>
        </w:tblPrEx>
        <w:trPr>
          <w:trHeight w:val="454" w:hRule="atLeast"/>
        </w:trPr>
        <w:tc>
          <w:tcPr>
            <w:tcW w:w="1440" w:type="dxa"/>
            <w:vMerge w:val="continue"/>
            <w:tcBorders>
              <w:left w:val="single" w:color="000000" w:sz="4" w:space="0"/>
              <w:right w:val="single" w:color="000000" w:sz="4" w:space="0"/>
            </w:tcBorders>
            <w:noWrap w:val="0"/>
            <w:tcMar>
              <w:top w:w="15" w:type="dxa"/>
              <w:left w:w="15" w:type="dxa"/>
              <w:right w:w="15" w:type="dxa"/>
            </w:tcMar>
            <w:vAlign w:val="center"/>
          </w:tcPr>
          <w:p w14:paraId="6080CC38">
            <w:pPr>
              <w:jc w:val="center"/>
              <w:rPr>
                <w:rFonts w:hint="eastAsia" w:ascii="Times New Roman" w:hAnsi="Times New Roman" w:cs="宋体"/>
                <w:color w:val="auto"/>
                <w:sz w:val="22"/>
                <w:szCs w:val="22"/>
                <w:highlight w:val="none"/>
              </w:rPr>
            </w:pPr>
          </w:p>
        </w:tc>
        <w:tc>
          <w:tcPr>
            <w:tcW w:w="2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2395E1">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其中：1-10亿元企业数</w:t>
            </w:r>
          </w:p>
        </w:tc>
        <w:tc>
          <w:tcPr>
            <w:tcW w:w="2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B30114">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100</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CF7FD4">
            <w:pPr>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140家</w:t>
            </w:r>
          </w:p>
        </w:tc>
      </w:tr>
      <w:tr w14:paraId="4121CE42">
        <w:tblPrEx>
          <w:tblCellMar>
            <w:top w:w="0" w:type="dxa"/>
            <w:left w:w="0" w:type="dxa"/>
            <w:bottom w:w="0" w:type="dxa"/>
            <w:right w:w="0" w:type="dxa"/>
          </w:tblCellMar>
        </w:tblPrEx>
        <w:trPr>
          <w:trHeight w:val="454" w:hRule="atLeast"/>
        </w:trPr>
        <w:tc>
          <w:tcPr>
            <w:tcW w:w="1440" w:type="dxa"/>
            <w:vMerge w:val="continue"/>
            <w:tcBorders>
              <w:left w:val="single" w:color="000000" w:sz="4" w:space="0"/>
              <w:right w:val="single" w:color="000000" w:sz="4" w:space="0"/>
            </w:tcBorders>
            <w:noWrap w:val="0"/>
            <w:tcMar>
              <w:top w:w="15" w:type="dxa"/>
              <w:left w:w="15" w:type="dxa"/>
              <w:right w:w="15" w:type="dxa"/>
            </w:tcMar>
            <w:vAlign w:val="center"/>
          </w:tcPr>
          <w:p w14:paraId="7AC450AB">
            <w:pPr>
              <w:jc w:val="center"/>
              <w:rPr>
                <w:rFonts w:hint="eastAsia" w:ascii="Times New Roman" w:hAnsi="Times New Roman" w:cs="宋体"/>
                <w:color w:val="auto"/>
                <w:sz w:val="22"/>
                <w:szCs w:val="22"/>
                <w:highlight w:val="none"/>
              </w:rPr>
            </w:pPr>
          </w:p>
        </w:tc>
        <w:tc>
          <w:tcPr>
            <w:tcW w:w="2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A0B0C">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其中：10亿元以上企业</w:t>
            </w:r>
          </w:p>
        </w:tc>
        <w:tc>
          <w:tcPr>
            <w:tcW w:w="2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376D4A">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5</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3ACBF8">
            <w:pPr>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10家</w:t>
            </w:r>
          </w:p>
        </w:tc>
      </w:tr>
      <w:tr w14:paraId="600B6DA2">
        <w:tblPrEx>
          <w:tblCellMar>
            <w:top w:w="0" w:type="dxa"/>
            <w:left w:w="0" w:type="dxa"/>
            <w:bottom w:w="0" w:type="dxa"/>
            <w:right w:w="0" w:type="dxa"/>
          </w:tblCellMar>
        </w:tblPrEx>
        <w:trPr>
          <w:trHeight w:val="454" w:hRule="atLeast"/>
        </w:trPr>
        <w:tc>
          <w:tcPr>
            <w:tcW w:w="144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FB8B375">
            <w:pPr>
              <w:jc w:val="center"/>
              <w:rPr>
                <w:rFonts w:hint="eastAsia" w:ascii="Times New Roman" w:hAnsi="Times New Roman" w:cs="宋体"/>
                <w:color w:val="auto"/>
                <w:sz w:val="22"/>
                <w:szCs w:val="22"/>
                <w:highlight w:val="none"/>
              </w:rPr>
            </w:pPr>
          </w:p>
        </w:tc>
        <w:tc>
          <w:tcPr>
            <w:tcW w:w="2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BC92B4">
            <w:pP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规上企业数</w:t>
            </w:r>
          </w:p>
        </w:tc>
        <w:tc>
          <w:tcPr>
            <w:tcW w:w="2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6062C0">
            <w:pPr>
              <w:jc w:val="center"/>
              <w:textAlignment w:val="center"/>
              <w:rPr>
                <w:rFonts w:hint="eastAsia" w:ascii="宋体" w:hAnsi="宋体" w:eastAsia="宋体" w:cs="宋体"/>
                <w:color w:val="auto"/>
                <w:kern w:val="0"/>
                <w:sz w:val="22"/>
                <w:szCs w:val="22"/>
                <w:highlight w:val="none"/>
                <w:lang w:eastAsia="zh-CN" w:bidi="ar"/>
              </w:rPr>
            </w:pPr>
            <w:r>
              <w:rPr>
                <w:rFonts w:hint="eastAsia" w:ascii="宋体" w:hAnsi="宋体" w:eastAsia="宋体" w:cs="宋体"/>
                <w:color w:val="auto"/>
                <w:sz w:val="22"/>
                <w:szCs w:val="22"/>
                <w:highlight w:val="none"/>
              </w:rPr>
              <w:t>389</w:t>
            </w:r>
            <w:r>
              <w:rPr>
                <w:rFonts w:hint="eastAsia" w:ascii="宋体" w:hAnsi="宋体" w:eastAsia="宋体" w:cs="宋体"/>
                <w:color w:val="auto"/>
                <w:sz w:val="22"/>
                <w:szCs w:val="22"/>
                <w:highlight w:val="none"/>
                <w:lang w:eastAsia="zh-CN"/>
              </w:rPr>
              <w:t>家</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30CE47">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709家</w:t>
            </w:r>
          </w:p>
        </w:tc>
      </w:tr>
      <w:tr w14:paraId="041C829E">
        <w:tblPrEx>
          <w:tblCellMar>
            <w:top w:w="0" w:type="dxa"/>
            <w:left w:w="0" w:type="dxa"/>
            <w:bottom w:w="0" w:type="dxa"/>
            <w:right w:w="0" w:type="dxa"/>
          </w:tblCellMar>
        </w:tblPrEx>
        <w:trPr>
          <w:trHeight w:val="454" w:hRule="atLeast"/>
        </w:trPr>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FDF5A">
            <w:pPr>
              <w:jc w:val="center"/>
              <w:textAlignment w:val="center"/>
              <w:rPr>
                <w:rFonts w:hint="eastAsia" w:ascii="Times New Roman" w:hAnsi="Times New Roman" w:cs="宋体"/>
                <w:color w:val="auto"/>
                <w:sz w:val="22"/>
                <w:szCs w:val="22"/>
                <w:highlight w:val="none"/>
              </w:rPr>
            </w:pPr>
            <w:r>
              <w:rPr>
                <w:rFonts w:hint="eastAsia" w:ascii="Times New Roman" w:hAnsi="Times New Roman" w:cs="宋体"/>
                <w:color w:val="auto"/>
                <w:kern w:val="0"/>
                <w:sz w:val="22"/>
                <w:szCs w:val="22"/>
                <w:highlight w:val="none"/>
                <w:lang w:bidi="ar"/>
              </w:rPr>
              <w:t>技术创新</w:t>
            </w:r>
          </w:p>
        </w:tc>
        <w:tc>
          <w:tcPr>
            <w:tcW w:w="2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F30A37">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省级以上企业技术中心数（累计）</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1D5F56">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24</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3BA1D4">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66家</w:t>
            </w:r>
          </w:p>
        </w:tc>
      </w:tr>
      <w:tr w14:paraId="23DBE082">
        <w:tblPrEx>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A75BD3">
            <w:pPr>
              <w:jc w:val="center"/>
              <w:rPr>
                <w:rFonts w:hint="eastAsia" w:ascii="Times New Roman" w:hAnsi="Times New Roman" w:cs="宋体"/>
                <w:color w:val="auto"/>
                <w:sz w:val="22"/>
                <w:szCs w:val="22"/>
                <w:highlight w:val="none"/>
              </w:rPr>
            </w:pPr>
          </w:p>
        </w:tc>
        <w:tc>
          <w:tcPr>
            <w:tcW w:w="2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BCCED8">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其中：国家级企业技术中心（累计）</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FC7836">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2</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94189D">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eastAsia="zh-CN"/>
              </w:rPr>
              <w:t>家</w:t>
            </w:r>
          </w:p>
        </w:tc>
      </w:tr>
      <w:tr w14:paraId="1D50490C">
        <w:tblPrEx>
          <w:tblCellMar>
            <w:top w:w="0" w:type="dxa"/>
            <w:left w:w="0" w:type="dxa"/>
            <w:bottom w:w="0" w:type="dxa"/>
            <w:right w:w="0" w:type="dxa"/>
          </w:tblCellMar>
        </w:tblPrEx>
        <w:trPr>
          <w:trHeight w:val="454" w:hRule="atLeast"/>
        </w:trPr>
        <w:tc>
          <w:tcPr>
            <w:tcW w:w="144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7E51BD">
            <w:pPr>
              <w:jc w:val="center"/>
              <w:textAlignment w:val="center"/>
              <w:rPr>
                <w:rFonts w:hint="eastAsia" w:ascii="Times New Roman" w:hAnsi="Times New Roman" w:cs="宋体"/>
                <w:color w:val="auto"/>
                <w:sz w:val="22"/>
                <w:szCs w:val="22"/>
                <w:highlight w:val="none"/>
              </w:rPr>
            </w:pPr>
            <w:r>
              <w:rPr>
                <w:rFonts w:hint="eastAsia" w:ascii="Times New Roman" w:hAnsi="Times New Roman" w:cs="宋体"/>
                <w:color w:val="auto"/>
                <w:kern w:val="0"/>
                <w:sz w:val="22"/>
                <w:szCs w:val="22"/>
                <w:highlight w:val="none"/>
                <w:lang w:bidi="ar"/>
              </w:rPr>
              <w:t>数字化</w:t>
            </w:r>
          </w:p>
        </w:tc>
        <w:tc>
          <w:tcPr>
            <w:tcW w:w="2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0A7DE">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两化融合贯标企业数（累计）</w:t>
            </w:r>
          </w:p>
        </w:tc>
        <w:tc>
          <w:tcPr>
            <w:tcW w:w="23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3F104">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25</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8246B7">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164</w:t>
            </w:r>
            <w:r>
              <w:rPr>
                <w:rFonts w:hint="eastAsia" w:ascii="宋体" w:hAnsi="宋体" w:eastAsia="宋体" w:cs="宋体"/>
                <w:color w:val="auto"/>
                <w:sz w:val="22"/>
                <w:szCs w:val="22"/>
                <w:highlight w:val="none"/>
                <w:lang w:eastAsia="zh-CN"/>
              </w:rPr>
              <w:t>家</w:t>
            </w:r>
          </w:p>
        </w:tc>
      </w:tr>
      <w:tr w14:paraId="17727E8E">
        <w:tblPrEx>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9FA103">
            <w:pPr>
              <w:jc w:val="center"/>
              <w:rPr>
                <w:rFonts w:hint="eastAsia" w:ascii="Times New Roman" w:hAnsi="Times New Roman" w:cs="宋体"/>
                <w:color w:val="auto"/>
                <w:sz w:val="22"/>
                <w:szCs w:val="22"/>
                <w:highlight w:val="none"/>
              </w:rPr>
            </w:pPr>
          </w:p>
        </w:tc>
        <w:tc>
          <w:tcPr>
            <w:tcW w:w="2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352390">
            <w:pP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bidi="ar"/>
              </w:rPr>
              <w:t>省级智能车间</w:t>
            </w:r>
            <w:r>
              <w:rPr>
                <w:rFonts w:hint="eastAsia" w:ascii="宋体" w:hAnsi="宋体" w:eastAsia="宋体" w:cs="宋体"/>
                <w:color w:val="auto"/>
                <w:kern w:val="0"/>
                <w:sz w:val="22"/>
                <w:szCs w:val="22"/>
                <w:highlight w:val="none"/>
                <w:lang w:eastAsia="zh-CN" w:bidi="ar"/>
              </w:rPr>
              <w:t>（</w:t>
            </w:r>
            <w:r>
              <w:rPr>
                <w:rFonts w:hint="eastAsia" w:ascii="宋体" w:hAnsi="宋体" w:eastAsia="宋体" w:cs="宋体"/>
                <w:color w:val="auto"/>
                <w:kern w:val="0"/>
                <w:sz w:val="22"/>
                <w:szCs w:val="22"/>
                <w:highlight w:val="none"/>
                <w:lang w:val="en-US" w:eastAsia="zh-CN" w:bidi="ar"/>
              </w:rPr>
              <w:t>累计）</w:t>
            </w:r>
          </w:p>
        </w:tc>
        <w:tc>
          <w:tcPr>
            <w:tcW w:w="2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26DF07">
            <w:pPr>
              <w:jc w:val="center"/>
              <w:textAlignment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kern w:val="0"/>
                <w:sz w:val="22"/>
                <w:szCs w:val="22"/>
                <w:highlight w:val="none"/>
                <w:lang w:bidi="ar"/>
              </w:rPr>
              <w:t>9</w:t>
            </w:r>
            <w:r>
              <w:rPr>
                <w:rFonts w:hint="eastAsia" w:ascii="宋体" w:hAnsi="宋体" w:eastAsia="宋体" w:cs="宋体"/>
                <w:color w:val="auto"/>
                <w:kern w:val="0"/>
                <w:sz w:val="22"/>
                <w:szCs w:val="22"/>
                <w:highlight w:val="none"/>
                <w:lang w:eastAsia="zh-CN" w:bidi="ar"/>
              </w:rPr>
              <w:t>家</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A13B53">
            <w:pPr>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34</w:t>
            </w:r>
            <w:r>
              <w:rPr>
                <w:rFonts w:hint="eastAsia" w:ascii="宋体" w:hAnsi="宋体" w:eastAsia="宋体" w:cs="宋体"/>
                <w:color w:val="auto"/>
                <w:sz w:val="22"/>
                <w:szCs w:val="22"/>
                <w:highlight w:val="none"/>
                <w:lang w:eastAsia="zh-CN"/>
              </w:rPr>
              <w:t>家</w:t>
            </w:r>
          </w:p>
        </w:tc>
      </w:tr>
      <w:tr w14:paraId="4B002470">
        <w:tblPrEx>
          <w:tblCellMar>
            <w:top w:w="0" w:type="dxa"/>
            <w:left w:w="0" w:type="dxa"/>
            <w:bottom w:w="0" w:type="dxa"/>
            <w:right w:w="0" w:type="dxa"/>
          </w:tblCellMar>
        </w:tblPrEx>
        <w:trPr>
          <w:trHeight w:val="454" w:hRule="atLeast"/>
        </w:trPr>
        <w:tc>
          <w:tcPr>
            <w:tcW w:w="144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43A0D">
            <w:pPr>
              <w:jc w:val="center"/>
              <w:rPr>
                <w:rFonts w:hint="eastAsia" w:ascii="Times New Roman" w:hAnsi="Times New Roman" w:cs="宋体"/>
                <w:color w:val="auto"/>
                <w:sz w:val="22"/>
                <w:szCs w:val="22"/>
                <w:highlight w:val="none"/>
              </w:rPr>
            </w:pPr>
          </w:p>
        </w:tc>
        <w:tc>
          <w:tcPr>
            <w:tcW w:w="24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3868BE">
            <w:pP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5G网络用户普及率</w:t>
            </w:r>
          </w:p>
        </w:tc>
        <w:tc>
          <w:tcPr>
            <w:tcW w:w="23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2A28D">
            <w:pPr>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10</w:t>
            </w:r>
            <w:r>
              <w:rPr>
                <w:rFonts w:hint="eastAsia" w:ascii="宋体" w:hAnsi="宋体" w:eastAsia="宋体" w:cs="宋体"/>
                <w:color w:val="auto"/>
                <w:sz w:val="22"/>
                <w:szCs w:val="22"/>
                <w:highlight w:val="none"/>
                <w:lang w:val="en-US" w:eastAsia="zh-CN"/>
              </w:rPr>
              <w:t>%</w:t>
            </w:r>
          </w:p>
        </w:tc>
        <w:tc>
          <w:tcPr>
            <w:tcW w:w="22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E69D9C">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70.41%</w:t>
            </w:r>
          </w:p>
        </w:tc>
      </w:tr>
      <w:tr w14:paraId="1B97CEDD">
        <w:tblPrEx>
          <w:tblCellMar>
            <w:top w:w="0" w:type="dxa"/>
            <w:left w:w="0" w:type="dxa"/>
            <w:bottom w:w="0" w:type="dxa"/>
            <w:right w:w="0" w:type="dxa"/>
          </w:tblCellMar>
        </w:tblPrEx>
        <w:trPr>
          <w:trHeight w:val="454" w:hRule="atLeast"/>
        </w:trPr>
        <w:tc>
          <w:tcPr>
            <w:tcW w:w="1440"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068418">
            <w:pPr>
              <w:jc w:val="center"/>
              <w:textAlignment w:val="center"/>
              <w:rPr>
                <w:rFonts w:hint="eastAsia" w:ascii="Times New Roman" w:hAnsi="Times New Roman" w:cs="宋体"/>
                <w:color w:val="auto"/>
                <w:sz w:val="22"/>
                <w:szCs w:val="22"/>
                <w:highlight w:val="none"/>
              </w:rPr>
            </w:pPr>
            <w:r>
              <w:rPr>
                <w:rFonts w:hint="eastAsia" w:ascii="Times New Roman" w:hAnsi="Times New Roman" w:cs="宋体"/>
                <w:color w:val="auto"/>
                <w:kern w:val="0"/>
                <w:sz w:val="22"/>
                <w:szCs w:val="22"/>
                <w:highlight w:val="none"/>
                <w:lang w:bidi="ar"/>
              </w:rPr>
              <w:t>节能降耗</w:t>
            </w:r>
          </w:p>
        </w:tc>
        <w:tc>
          <w:tcPr>
            <w:tcW w:w="246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89408D">
            <w:pP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bidi="ar"/>
              </w:rPr>
              <w:t>万元GDP能耗下降率</w:t>
            </w:r>
            <w:r>
              <w:rPr>
                <w:rFonts w:hint="eastAsia" w:ascii="宋体" w:hAnsi="宋体" w:eastAsia="宋体" w:cs="宋体"/>
                <w:color w:val="auto"/>
                <w:kern w:val="0"/>
                <w:sz w:val="22"/>
                <w:szCs w:val="22"/>
                <w:highlight w:val="none"/>
                <w:lang w:val="en-US" w:eastAsia="zh-CN" w:bidi="ar"/>
              </w:rPr>
              <w:t>%（比上一个五年）</w:t>
            </w:r>
          </w:p>
        </w:tc>
        <w:tc>
          <w:tcPr>
            <w:tcW w:w="2398"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B98529">
            <w:pPr>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20.45%</w:t>
            </w:r>
          </w:p>
        </w:tc>
        <w:tc>
          <w:tcPr>
            <w:tcW w:w="2263"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8DBF7A">
            <w:pPr>
              <w:jc w:val="center"/>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23.2%</w:t>
            </w:r>
          </w:p>
        </w:tc>
      </w:tr>
    </w:tbl>
    <w:p w14:paraId="46A1FC5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eastAsia" w:ascii="楷体" w:hAnsi="楷体" w:eastAsia="楷体" w:cs="楷体"/>
          <w:b w:val="0"/>
          <w:bCs w:val="0"/>
          <w:color w:val="auto"/>
          <w:sz w:val="32"/>
          <w:szCs w:val="32"/>
          <w:highlight w:val="none"/>
        </w:rPr>
      </w:pPr>
      <w:bookmarkStart w:id="15" w:name="_Toc18258"/>
      <w:r>
        <w:rPr>
          <w:rFonts w:hint="eastAsia" w:ascii="楷体" w:hAnsi="楷体" w:eastAsia="楷体" w:cs="楷体"/>
          <w:b w:val="0"/>
          <w:bCs w:val="0"/>
          <w:color w:val="auto"/>
          <w:sz w:val="32"/>
          <w:szCs w:val="32"/>
          <w:highlight w:val="none"/>
        </w:rPr>
        <w:t>（三）存在的问题与挑战</w:t>
      </w:r>
      <w:bookmarkEnd w:id="15"/>
    </w:p>
    <w:p w14:paraId="7EDA006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一是产业链集而不</w:t>
      </w:r>
      <w:r>
        <w:rPr>
          <w:rFonts w:hint="eastAsia" w:ascii="楷体" w:hAnsi="楷体" w:eastAsia="楷体" w:cs="楷体"/>
          <w:b w:val="0"/>
          <w:bCs w:val="0"/>
          <w:color w:val="auto"/>
          <w:sz w:val="32"/>
          <w:szCs w:val="32"/>
          <w:highlight w:val="none"/>
          <w:lang w:val="en-US" w:eastAsia="zh-CN"/>
        </w:rPr>
        <w:t>链</w:t>
      </w:r>
      <w:r>
        <w:rPr>
          <w:rFonts w:hint="eastAsia" w:ascii="楷体" w:hAnsi="楷体" w:eastAsia="楷体" w:cs="楷体"/>
          <w:b w:val="0"/>
          <w:bCs w:val="0"/>
          <w:color w:val="auto"/>
          <w:sz w:val="32"/>
          <w:szCs w:val="32"/>
          <w:highlight w:val="none"/>
        </w:rPr>
        <w:t>，内部协同不够紧密。</w:t>
      </w:r>
      <w:r>
        <w:rPr>
          <w:rFonts w:hint="eastAsia" w:ascii="方正仿宋_GBK" w:hAnsi="方正仿宋_GBK" w:eastAsia="方正仿宋_GBK" w:cs="方正仿宋_GBK"/>
          <w:b w:val="0"/>
          <w:bCs w:val="0"/>
          <w:color w:val="auto"/>
          <w:sz w:val="32"/>
          <w:szCs w:val="32"/>
          <w:highlight w:val="none"/>
        </w:rPr>
        <w:t>以电子信息产业中的半导体及配套产业为例，虽然引入了航菱微、擎朗科技等优质项目，亚电科技、正帆半导体等企业规模持续增长，但企业间仍以空间集中为主，业务关联度弱，未形成紧密的上下游配套体系和真正的产业集群效应。许多链上企业更倾向于与外地知名厂商合作，本地企业间的协同不足，导致产业链“内循环”能力较弱，整体竞争力有待提升。</w:t>
      </w:r>
    </w:p>
    <w:p w14:paraId="4588E06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二是龙头企业偏弱，引领带动作用有待加强。</w:t>
      </w:r>
      <w:r>
        <w:rPr>
          <w:rFonts w:hint="eastAsia" w:ascii="方正仿宋_GBK" w:hAnsi="方正仿宋_GBK" w:eastAsia="方正仿宋_GBK" w:cs="方正仿宋_GBK"/>
          <w:b w:val="0"/>
          <w:bCs w:val="0"/>
          <w:color w:val="auto"/>
          <w:sz w:val="32"/>
          <w:szCs w:val="32"/>
          <w:highlight w:val="none"/>
        </w:rPr>
        <w:t>我区产业结构偏传统、企业规模偏中小，202</w:t>
      </w:r>
      <w:r>
        <w:rPr>
          <w:rFonts w:hint="eastAsia" w:ascii="方正仿宋_GBK" w:hAnsi="方正仿宋_GBK" w:eastAsia="方正仿宋_GBK" w:cs="方正仿宋_GBK"/>
          <w:b w:val="0"/>
          <w:bCs w:val="0"/>
          <w:color w:val="auto"/>
          <w:sz w:val="32"/>
          <w:szCs w:val="32"/>
          <w:highlight w:val="none"/>
          <w:lang w:val="en-US" w:eastAsia="zh-CN"/>
        </w:rPr>
        <w:t>5</w:t>
      </w:r>
      <w:r>
        <w:rPr>
          <w:rFonts w:hint="eastAsia" w:ascii="方正仿宋_GBK" w:hAnsi="方正仿宋_GBK" w:eastAsia="方正仿宋_GBK" w:cs="方正仿宋_GBK"/>
          <w:b w:val="0"/>
          <w:bCs w:val="0"/>
          <w:color w:val="auto"/>
          <w:sz w:val="32"/>
          <w:szCs w:val="32"/>
          <w:highlight w:val="none"/>
        </w:rPr>
        <w:t>年，全区仅双登集团征收期工业开票销售达到50亿元门槛，</w:t>
      </w:r>
      <w:r>
        <w:rPr>
          <w:rFonts w:hint="eastAsia" w:ascii="方正仿宋_GBK" w:hAnsi="方正仿宋_GBK" w:eastAsia="方正仿宋_GBK" w:cs="方正仿宋_GBK"/>
          <w:b w:val="0"/>
          <w:bCs w:val="0"/>
          <w:color w:val="auto"/>
          <w:sz w:val="32"/>
          <w:szCs w:val="32"/>
          <w:highlight w:val="none"/>
          <w:lang w:val="en-US" w:eastAsia="zh-CN"/>
        </w:rPr>
        <w:t>精锻科技、</w:t>
      </w:r>
      <w:r>
        <w:rPr>
          <w:rFonts w:hint="eastAsia" w:ascii="方正仿宋_GBK" w:hAnsi="方正仿宋_GBK" w:eastAsia="方正仿宋_GBK" w:cs="方正仿宋_GBK"/>
          <w:b w:val="0"/>
          <w:bCs w:val="0"/>
          <w:color w:val="auto"/>
          <w:sz w:val="32"/>
          <w:szCs w:val="32"/>
          <w:highlight w:val="none"/>
        </w:rPr>
        <w:t>中来光电、泰达纺织、苏中药业等</w:t>
      </w:r>
      <w:r>
        <w:rPr>
          <w:rFonts w:hint="eastAsia" w:ascii="方正仿宋_GBK" w:hAnsi="方正仿宋_GBK" w:eastAsia="方正仿宋_GBK" w:cs="方正仿宋_GBK"/>
          <w:b w:val="0"/>
          <w:bCs w:val="0"/>
          <w:color w:val="auto"/>
          <w:sz w:val="32"/>
          <w:szCs w:val="32"/>
          <w:highlight w:val="none"/>
          <w:lang w:val="en-US" w:eastAsia="zh-CN"/>
        </w:rPr>
        <w:t>4</w:t>
      </w:r>
      <w:r>
        <w:rPr>
          <w:rFonts w:hint="eastAsia" w:ascii="方正仿宋_GBK" w:hAnsi="方正仿宋_GBK" w:eastAsia="方正仿宋_GBK" w:cs="方正仿宋_GBK"/>
          <w:b w:val="0"/>
          <w:bCs w:val="0"/>
          <w:color w:val="auto"/>
          <w:sz w:val="32"/>
          <w:szCs w:val="32"/>
          <w:highlight w:val="none"/>
        </w:rPr>
        <w:t>家企业规模在20亿元级别，与</w:t>
      </w:r>
      <w:r>
        <w:rPr>
          <w:rFonts w:hint="eastAsia" w:ascii="方正仿宋_GBK" w:hAnsi="方正仿宋_GBK" w:eastAsia="方正仿宋_GBK" w:cs="方正仿宋_GBK"/>
          <w:b w:val="0"/>
          <w:bCs w:val="0"/>
          <w:color w:val="auto"/>
          <w:sz w:val="32"/>
          <w:szCs w:val="32"/>
          <w:highlight w:val="none"/>
          <w:lang w:eastAsia="zh-CN"/>
        </w:rPr>
        <w:t>泰兴、靖江</w:t>
      </w:r>
      <w:r>
        <w:rPr>
          <w:rFonts w:hint="eastAsia" w:ascii="方正仿宋_GBK" w:hAnsi="方正仿宋_GBK" w:eastAsia="方正仿宋_GBK" w:cs="方正仿宋_GBK"/>
          <w:b w:val="0"/>
          <w:bCs w:val="0"/>
          <w:color w:val="auto"/>
          <w:sz w:val="32"/>
          <w:szCs w:val="32"/>
          <w:highlight w:val="none"/>
          <w:lang w:val="en-US" w:eastAsia="zh-CN"/>
        </w:rPr>
        <w:t>等周边地区及</w:t>
      </w:r>
      <w:r>
        <w:rPr>
          <w:rFonts w:hint="eastAsia" w:ascii="方正仿宋_GBK" w:hAnsi="方正仿宋_GBK" w:eastAsia="方正仿宋_GBK" w:cs="方正仿宋_GBK"/>
          <w:b w:val="0"/>
          <w:bCs w:val="0"/>
          <w:color w:val="auto"/>
          <w:sz w:val="32"/>
          <w:szCs w:val="32"/>
          <w:highlight w:val="none"/>
        </w:rPr>
        <w:t>上虞、江都等对标地区相比，整体企业规模偏小，在区域产业分工和价值链竞争中处于相对弱势地位，亟需培育带动力更强的龙头企业。</w:t>
      </w:r>
    </w:p>
    <w:p w14:paraId="7B26BCD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三是转型升级面上推广面临瓶颈制约。</w:t>
      </w:r>
      <w:r>
        <w:rPr>
          <w:rFonts w:hint="eastAsia" w:ascii="方正仿宋_GBK" w:hAnsi="方正仿宋_GBK" w:eastAsia="方正仿宋_GBK" w:cs="方正仿宋_GBK"/>
          <w:b w:val="0"/>
          <w:bCs w:val="0"/>
          <w:color w:val="auto"/>
          <w:sz w:val="32"/>
          <w:szCs w:val="32"/>
          <w:highlight w:val="none"/>
        </w:rPr>
        <w:t>面向数量庞大的中小企业群体，普惠性、低成本、见效快的服务资源供给不足。在“智改数转网联”和绿色低碳改造方面，依然缺乏能够在产业集群层面规模化推广的共性技术解决方案和专业的软硬件服务商支撑，导致转型工作呈现“点上成绩突出、面上推广乏力”的现象。近年来，部分领域标杆创建数量“后继无企”，面上更多的中小企业面临“不敢转、不会转、转不起、转不优”的困境，内生动力和后续动能亟待激发。</w:t>
      </w:r>
    </w:p>
    <w:p w14:paraId="7C2CD844">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方正仿宋_GBK" w:hAnsi="方正仿宋_GBK" w:eastAsia="方正仿宋_GBK" w:cs="方正仿宋_GBK"/>
          <w:b w:val="0"/>
          <w:bCs w:val="0"/>
          <w:color w:val="auto"/>
          <w:sz w:val="32"/>
          <w:szCs w:val="32"/>
          <w:highlight w:val="none"/>
          <w:lang w:bidi="ar"/>
        </w:rPr>
      </w:pPr>
      <w:bookmarkStart w:id="16" w:name="_Toc11947"/>
      <w:r>
        <w:rPr>
          <w:rFonts w:hint="eastAsia" w:ascii="楷体" w:hAnsi="楷体" w:eastAsia="楷体" w:cs="楷体"/>
          <w:b w:val="0"/>
          <w:bCs w:val="0"/>
          <w:color w:val="auto"/>
          <w:sz w:val="32"/>
          <w:szCs w:val="32"/>
          <w:highlight w:val="none"/>
        </w:rPr>
        <w:t>四是新型生产要素缺乏影响高质量发展。</w:t>
      </w:r>
      <w:r>
        <w:rPr>
          <w:rFonts w:hint="eastAsia" w:ascii="方正仿宋_GBK" w:hAnsi="方正仿宋_GBK" w:eastAsia="方正仿宋_GBK" w:cs="方正仿宋_GBK"/>
          <w:b w:val="0"/>
          <w:bCs w:val="0"/>
          <w:color w:val="auto"/>
          <w:sz w:val="32"/>
          <w:szCs w:val="32"/>
          <w:highlight w:val="none"/>
        </w:rPr>
        <w:t>公共服务平台与本地工业企业黏性不强，带动作用有限。</w:t>
      </w:r>
      <w:r>
        <w:rPr>
          <w:rFonts w:hint="eastAsia" w:ascii="方正仿宋_GBK" w:hAnsi="方正仿宋_GBK" w:eastAsia="方正仿宋_GBK" w:cs="方正仿宋_GBK"/>
          <w:b w:val="0"/>
          <w:bCs w:val="0"/>
          <w:color w:val="auto"/>
          <w:sz w:val="32"/>
          <w:szCs w:val="32"/>
          <w:highlight w:val="none"/>
          <w:lang w:bidi="ar"/>
        </w:rPr>
        <w:t>新型创新平台成果转化效果不明显，与本土产业链衔接不够紧密。能耗指标、绿电、排放指标、为中小企业配套的公共服务中心等资源缺少，制约了新项目的落地。缺少为广大中小企业转型升级服务的高水平第三方服务商机构，增加了中小企业转型升级的成本。</w:t>
      </w:r>
      <w:bookmarkEnd w:id="16"/>
    </w:p>
    <w:p w14:paraId="7C28EF9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7" w:name="_Toc30660"/>
      <w:bookmarkStart w:id="18" w:name="_Toc23774"/>
      <w:r>
        <w:rPr>
          <w:rFonts w:hint="eastAsia" w:ascii="Times New Roman" w:hAnsi="Times New Roman" w:eastAsia="黑体" w:cs="Times New Roman"/>
          <w:color w:val="auto"/>
          <w:sz w:val="32"/>
          <w:szCs w:val="32"/>
          <w:highlight w:val="none"/>
        </w:rPr>
        <w:t>第二节 “十五五”时期面临的新形势</w:t>
      </w:r>
      <w:bookmarkEnd w:id="17"/>
      <w:bookmarkEnd w:id="18"/>
    </w:p>
    <w:p w14:paraId="44211A5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color w:val="auto"/>
          <w:sz w:val="32"/>
          <w:szCs w:val="32"/>
          <w:highlight w:val="none"/>
          <w:lang w:bidi="ar"/>
        </w:rPr>
      </w:pPr>
      <w:r>
        <w:rPr>
          <w:rFonts w:hint="eastAsia" w:ascii="方正仿宋_GBK" w:hAnsi="方正仿宋_GBK" w:eastAsia="方正仿宋_GBK" w:cs="方正仿宋_GBK"/>
          <w:color w:val="auto"/>
          <w:sz w:val="32"/>
          <w:szCs w:val="32"/>
          <w:highlight w:val="none"/>
          <w:lang w:bidi="ar"/>
        </w:rPr>
        <w:t>“十五五”时期，我国发展进入战略机遇和风险挑战并存、不确定难预料因素增多的时期。推动工业化信息化产业高质量增长，必须科学研判内外形势，才能在危机中育新机、于变局中开新局。</w:t>
      </w:r>
    </w:p>
    <w:p w14:paraId="6CDB38B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eastAsia" w:ascii="楷体" w:hAnsi="楷体" w:eastAsia="楷体" w:cs="楷体"/>
          <w:b w:val="0"/>
          <w:bCs w:val="0"/>
          <w:i w:val="0"/>
          <w:iCs w:val="0"/>
          <w:color w:val="auto"/>
          <w:sz w:val="32"/>
          <w:szCs w:val="32"/>
          <w:highlight w:val="none"/>
        </w:rPr>
      </w:pPr>
      <w:bookmarkStart w:id="19" w:name="_Toc16062"/>
      <w:r>
        <w:rPr>
          <w:rFonts w:hint="eastAsia" w:ascii="楷体" w:hAnsi="楷体" w:eastAsia="楷体" w:cs="楷体"/>
          <w:b w:val="0"/>
          <w:bCs w:val="0"/>
          <w:i w:val="0"/>
          <w:iCs w:val="0"/>
          <w:color w:val="auto"/>
          <w:sz w:val="32"/>
          <w:szCs w:val="32"/>
          <w:highlight w:val="none"/>
        </w:rPr>
        <w:t>（一）宏观环境与政策机遇</w:t>
      </w:r>
      <w:bookmarkEnd w:id="19"/>
    </w:p>
    <w:p w14:paraId="7859E44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b w:val="0"/>
          <w:bCs w:val="0"/>
          <w:i w:val="0"/>
          <w:iCs w:val="0"/>
          <w:color w:val="auto"/>
          <w:sz w:val="32"/>
          <w:szCs w:val="32"/>
          <w:highlight w:val="none"/>
          <w:lang w:eastAsia="zh-CN"/>
        </w:rPr>
      </w:pPr>
      <w:bookmarkStart w:id="20" w:name="_Toc25588"/>
      <w:r>
        <w:rPr>
          <w:rFonts w:hint="eastAsia" w:ascii="方正仿宋_GBK" w:hAnsi="方正仿宋_GBK" w:eastAsia="方正仿宋_GBK" w:cs="方正仿宋_GBK"/>
          <w:b w:val="0"/>
          <w:bCs w:val="0"/>
          <w:i w:val="0"/>
          <w:iCs w:val="0"/>
          <w:color w:val="auto"/>
          <w:sz w:val="32"/>
          <w:szCs w:val="32"/>
          <w:highlight w:val="none"/>
        </w:rPr>
        <w:t>从国际看，世界百年未有之大变局加速演进，新一轮科技革命和产业变革深入发展，全球产业格局和竞争秩序面临深度调整。以人工智能、生物技术、新能源、新材料为代表的前沿科技领域正经历重大突破，并以前所未有的广度、深度和速度与制造业融合渗透，催生新的生产方式、产业形态和商业模式。这为姜堰区在特定领域抢占未来产业制高点、推动产业迈向价值链中高端提供了历史性机遇。同时，中美贸易摩擦及其引发的技术、人才交流壁垒</w:t>
      </w:r>
      <w:r>
        <w:rPr>
          <w:rFonts w:hint="eastAsia" w:ascii="方正仿宋_GBK" w:hAnsi="方正仿宋_GBK" w:eastAsia="方正仿宋_GBK" w:cs="方正仿宋_GBK"/>
          <w:b w:val="0"/>
          <w:bCs w:val="0"/>
          <w:i w:val="0"/>
          <w:iCs w:val="0"/>
          <w:color w:val="auto"/>
          <w:sz w:val="32"/>
          <w:szCs w:val="32"/>
          <w:highlight w:val="none"/>
          <w:lang w:val="en-US" w:eastAsia="zh-CN"/>
        </w:rPr>
        <w:t>使得</w:t>
      </w:r>
      <w:r>
        <w:rPr>
          <w:rFonts w:hint="eastAsia" w:ascii="方正仿宋_GBK" w:hAnsi="方正仿宋_GBK" w:eastAsia="方正仿宋_GBK" w:cs="方正仿宋_GBK"/>
          <w:b w:val="0"/>
          <w:bCs w:val="0"/>
          <w:i w:val="0"/>
          <w:iCs w:val="0"/>
          <w:color w:val="auto"/>
          <w:sz w:val="32"/>
          <w:szCs w:val="32"/>
          <w:highlight w:val="none"/>
        </w:rPr>
        <w:t>全球产业链供应链</w:t>
      </w:r>
      <w:r>
        <w:rPr>
          <w:rFonts w:hint="eastAsia" w:ascii="方正仿宋_GBK" w:hAnsi="方正仿宋_GBK" w:eastAsia="方正仿宋_GBK" w:cs="方正仿宋_GBK"/>
          <w:b w:val="0"/>
          <w:bCs w:val="0"/>
          <w:i w:val="0"/>
          <w:iCs w:val="0"/>
          <w:color w:val="auto"/>
          <w:sz w:val="32"/>
          <w:szCs w:val="32"/>
          <w:highlight w:val="none"/>
          <w:lang w:val="en-US" w:eastAsia="zh-CN"/>
        </w:rPr>
        <w:t>分化</w:t>
      </w:r>
      <w:r>
        <w:rPr>
          <w:rFonts w:hint="eastAsia" w:ascii="方正仿宋_GBK" w:hAnsi="方正仿宋_GBK" w:eastAsia="方正仿宋_GBK" w:cs="方正仿宋_GBK"/>
          <w:b w:val="0"/>
          <w:bCs w:val="0"/>
          <w:i w:val="0"/>
          <w:iCs w:val="0"/>
          <w:color w:val="auto"/>
          <w:sz w:val="32"/>
          <w:szCs w:val="32"/>
          <w:highlight w:val="none"/>
        </w:rPr>
        <w:t>重构，增加了外部市场的不确定性</w:t>
      </w:r>
      <w:r>
        <w:rPr>
          <w:rFonts w:hint="eastAsia" w:ascii="方正仿宋_GBK" w:hAnsi="方正仿宋_GBK" w:eastAsia="方正仿宋_GBK" w:cs="方正仿宋_GBK"/>
          <w:b w:val="0"/>
          <w:bCs w:val="0"/>
          <w:i w:val="0"/>
          <w:iCs w:val="0"/>
          <w:color w:val="auto"/>
          <w:sz w:val="32"/>
          <w:szCs w:val="32"/>
          <w:highlight w:val="none"/>
          <w:lang w:eastAsia="zh-CN"/>
        </w:rPr>
        <w:t>，</w:t>
      </w:r>
      <w:r>
        <w:rPr>
          <w:rFonts w:hint="eastAsia" w:ascii="方正仿宋_GBK" w:hAnsi="方正仿宋_GBK" w:eastAsia="方正仿宋_GBK" w:cs="方正仿宋_GBK"/>
          <w:b w:val="0"/>
          <w:bCs w:val="0"/>
          <w:i w:val="0"/>
          <w:iCs w:val="0"/>
          <w:color w:val="auto"/>
          <w:sz w:val="32"/>
          <w:szCs w:val="32"/>
          <w:highlight w:val="none"/>
        </w:rPr>
        <w:t>部分产业环节面临转移或替代压力，也倒逼我国加速关键核心技术攻关和国产化替代进程</w:t>
      </w:r>
      <w:r>
        <w:rPr>
          <w:rFonts w:hint="eastAsia" w:ascii="方正仿宋_GBK" w:hAnsi="方正仿宋_GBK" w:eastAsia="方正仿宋_GBK" w:cs="方正仿宋_GBK"/>
          <w:b w:val="0"/>
          <w:bCs w:val="0"/>
          <w:i w:val="0"/>
          <w:iCs w:val="0"/>
          <w:color w:val="auto"/>
          <w:sz w:val="32"/>
          <w:szCs w:val="32"/>
          <w:highlight w:val="none"/>
          <w:lang w:eastAsia="zh-CN"/>
        </w:rPr>
        <w:t>。我</w:t>
      </w:r>
      <w:r>
        <w:rPr>
          <w:rFonts w:hint="eastAsia" w:ascii="方正仿宋_GBK" w:hAnsi="方正仿宋_GBK" w:eastAsia="方正仿宋_GBK" w:cs="方正仿宋_GBK"/>
          <w:b w:val="0"/>
          <w:bCs w:val="0"/>
          <w:i w:val="0"/>
          <w:iCs w:val="0"/>
          <w:color w:val="auto"/>
          <w:sz w:val="32"/>
          <w:szCs w:val="32"/>
          <w:highlight w:val="none"/>
        </w:rPr>
        <w:t>区若能精准把握技术趋势和产业动向，有望在细分领域形成独特竞争优势。</w:t>
      </w:r>
    </w:p>
    <w:p w14:paraId="18983EE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b w:val="0"/>
          <w:bCs w:val="0"/>
          <w:i w:val="0"/>
          <w:iCs w:val="0"/>
          <w:color w:val="auto"/>
          <w:sz w:val="32"/>
          <w:szCs w:val="32"/>
          <w:highlight w:val="none"/>
        </w:rPr>
      </w:pPr>
      <w:r>
        <w:rPr>
          <w:rFonts w:hint="eastAsia" w:ascii="方正仿宋_GBK" w:hAnsi="方正仿宋_GBK" w:eastAsia="方正仿宋_GBK" w:cs="方正仿宋_GBK"/>
          <w:b w:val="0"/>
          <w:bCs w:val="0"/>
          <w:i w:val="0"/>
          <w:iCs w:val="0"/>
          <w:color w:val="auto"/>
          <w:sz w:val="32"/>
          <w:szCs w:val="32"/>
          <w:highlight w:val="none"/>
        </w:rPr>
        <w:t>从国内看，中国式现代化宏伟蓝图全面绘就，国家坚持把发展经济的着力点放在实体经济上，深入推进新型工业化，加快建设制造强国、网络强国、数字中国，为工业和信息化发展提供了根本遵循和强大动力。国家层面持续强调稳中求进工作总基调，着力推动经济实现质的有效提升和量的合理增长，一系列聚焦扩大内需、提振信心、促进民营经济发展壮大、优化营商环境的政策举措将持续发力，为工业经济稳定增长营造良好预期和政策环境。特别是国家对培育新质生产力、推动大规模设备更新和消费品以旧换新、加强关键核心技术攻关、促进中小企业专精特新发展的战略部署，为姜堰区优化产业结构、提升创新能力、激发市场主体活力指明了具体路径，带来了宝贵的政策窗口期。</w:t>
      </w:r>
    </w:p>
    <w:p w14:paraId="2805F9B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2"/>
        <w:rPr>
          <w:rFonts w:hint="eastAsia" w:ascii="楷体" w:hAnsi="楷体" w:eastAsia="楷体" w:cs="楷体"/>
          <w:b w:val="0"/>
          <w:bCs w:val="0"/>
          <w:i w:val="0"/>
          <w:iCs w:val="0"/>
          <w:color w:val="auto"/>
          <w:sz w:val="32"/>
          <w:szCs w:val="32"/>
          <w:highlight w:val="none"/>
        </w:rPr>
      </w:pPr>
      <w:r>
        <w:rPr>
          <w:rFonts w:hint="eastAsia" w:ascii="楷体" w:hAnsi="楷体" w:eastAsia="楷体" w:cs="楷体"/>
          <w:b w:val="0"/>
          <w:bCs w:val="0"/>
          <w:i w:val="0"/>
          <w:iCs w:val="0"/>
          <w:color w:val="auto"/>
          <w:sz w:val="32"/>
          <w:szCs w:val="32"/>
          <w:highlight w:val="none"/>
        </w:rPr>
        <w:t>（二）区域竞争与合作态势</w:t>
      </w:r>
      <w:bookmarkEnd w:id="20"/>
    </w:p>
    <w:p w14:paraId="487537F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b w:val="0"/>
          <w:bCs w:val="0"/>
          <w:i w:val="0"/>
          <w:iCs w:val="0"/>
          <w:color w:val="auto"/>
          <w:sz w:val="32"/>
          <w:szCs w:val="32"/>
          <w:highlight w:val="none"/>
        </w:rPr>
      </w:pPr>
      <w:bookmarkStart w:id="21" w:name="_Toc8976"/>
      <w:r>
        <w:rPr>
          <w:rFonts w:hint="eastAsia" w:ascii="方正仿宋_GBK" w:hAnsi="方正仿宋_GBK" w:eastAsia="方正仿宋_GBK" w:cs="方正仿宋_GBK"/>
          <w:b w:val="0"/>
          <w:bCs w:val="0"/>
          <w:i w:val="0"/>
          <w:iCs w:val="0"/>
          <w:color w:val="auto"/>
          <w:sz w:val="32"/>
          <w:szCs w:val="32"/>
          <w:highlight w:val="none"/>
        </w:rPr>
        <w:t>从区域发展看，长三角一体化发展等国家战略的纵深推进，以及江苏省着力构建“1650”现代化产业体系、泰州市坚定推进“大海新晨”现代产业集群建设，为姜堰区在更大范围、更高层次整合资源、参与分工、协同创新提供了战略契机。姜堰区作为长三角城市群中的重要节点，在承接上海、苏南等先发地区产业外溢和科技辐射方面具有地理邻近优势，有望在产业链配套、科技成果转化、高端人才流动等方面获益。</w:t>
      </w:r>
    </w:p>
    <w:p w14:paraId="4C5D4E1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方正仿宋_GBK" w:hAnsi="方正仿宋_GBK" w:eastAsia="方正仿宋_GBK" w:cs="方正仿宋_GBK"/>
          <w:b w:val="0"/>
          <w:bCs w:val="0"/>
          <w:i w:val="0"/>
          <w:iCs w:val="0"/>
          <w:color w:val="auto"/>
          <w:sz w:val="32"/>
          <w:szCs w:val="32"/>
          <w:highlight w:val="none"/>
        </w:rPr>
      </w:pPr>
      <w:r>
        <w:rPr>
          <w:rFonts w:hint="eastAsia" w:ascii="方正仿宋_GBK" w:hAnsi="方正仿宋_GBK" w:eastAsia="方正仿宋_GBK" w:cs="方正仿宋_GBK"/>
          <w:b w:val="0"/>
          <w:bCs w:val="0"/>
          <w:i w:val="0"/>
          <w:iCs w:val="0"/>
          <w:color w:val="auto"/>
          <w:sz w:val="32"/>
          <w:szCs w:val="32"/>
          <w:highlight w:val="none"/>
          <w:lang w:val="en-US" w:eastAsia="zh-CN"/>
        </w:rPr>
        <w:t>但</w:t>
      </w:r>
      <w:r>
        <w:rPr>
          <w:rFonts w:hint="eastAsia" w:ascii="方正仿宋_GBK" w:hAnsi="方正仿宋_GBK" w:eastAsia="方正仿宋_GBK" w:cs="方正仿宋_GBK"/>
          <w:b w:val="0"/>
          <w:bCs w:val="0"/>
          <w:i w:val="0"/>
          <w:iCs w:val="0"/>
          <w:color w:val="auto"/>
          <w:sz w:val="32"/>
          <w:szCs w:val="32"/>
          <w:highlight w:val="none"/>
        </w:rPr>
        <w:t>必须清醒地认识到，区域间围绕优质项目、创新资源、高端人才、政策红利的竞争日趋激烈。周边地区均在积极谋划布局新兴产业和未来产业，竞相出台更具吸引力的招商引资和人才引进政策，产业同质化竞争风险不容忽视。姜堰区总体上仍面临“前有标兵</w:t>
      </w:r>
      <w:r>
        <w:rPr>
          <w:rFonts w:hint="eastAsia" w:ascii="方正仿宋_GBK" w:hAnsi="方正仿宋_GBK" w:eastAsia="方正仿宋_GBK" w:cs="方正仿宋_GBK"/>
          <w:b w:val="0"/>
          <w:bCs w:val="0"/>
          <w:i w:val="0"/>
          <w:iCs w:val="0"/>
          <w:color w:val="auto"/>
          <w:sz w:val="32"/>
          <w:szCs w:val="32"/>
          <w:highlight w:val="none"/>
          <w:lang w:eastAsia="zh-CN"/>
        </w:rPr>
        <w:t>、</w:t>
      </w:r>
      <w:r>
        <w:rPr>
          <w:rFonts w:hint="eastAsia" w:ascii="方正仿宋_GBK" w:hAnsi="方正仿宋_GBK" w:eastAsia="方正仿宋_GBK" w:cs="方正仿宋_GBK"/>
          <w:b w:val="0"/>
          <w:bCs w:val="0"/>
          <w:i w:val="0"/>
          <w:iCs w:val="0"/>
          <w:color w:val="auto"/>
          <w:sz w:val="32"/>
          <w:szCs w:val="32"/>
          <w:highlight w:val="none"/>
        </w:rPr>
        <w:t>后有追兵”的竞争压力。与先进地区相比，姜堰在产业能级、龙头企业带动能力、创新平台能级、高端要素集聚能力等方面仍存在差距；与部分追赶地区相比，姜堰在资源禀赋、政策灵活性等方面也可能面临挑战。</w:t>
      </w:r>
    </w:p>
    <w:p w14:paraId="36A2168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方正小标宋_GBK" w:cs="Times New Roman"/>
          <w:color w:val="auto"/>
          <w:spacing w:val="11"/>
          <w:kern w:val="44"/>
          <w:sz w:val="36"/>
          <w:szCs w:val="36"/>
        </w:rPr>
      </w:pPr>
      <w:r>
        <w:rPr>
          <w:rFonts w:hint="eastAsia" w:ascii="方正仿宋_GBK" w:hAnsi="方正仿宋_GBK" w:eastAsia="方正仿宋_GBK" w:cs="方正仿宋_GBK"/>
          <w:b w:val="0"/>
          <w:bCs w:val="0"/>
          <w:i w:val="0"/>
          <w:iCs w:val="0"/>
          <w:color w:val="auto"/>
          <w:sz w:val="32"/>
          <w:szCs w:val="32"/>
          <w:highlight w:val="none"/>
        </w:rPr>
        <w:t>因此，姜堰区决不能走同质化竞争的老路，必须坚持走差异化、特色化、集群化的发展道路。要充分发挥在精密制造、特定细分领域的产业基础和比较优势，聚焦“2+2+X”产业体系，在产业链关键环节深耕细作，着力培育一批“专精特新”企业和细分领域“隐形冠军”。要更加注重与周边地区形成错位发展、功能互补、协同联动的产业生态，积极嵌入区域优势产业链，在深度合作中提升自身产业竞争力，努力在激烈的区域竞争中塑造不可替代的独特地位，构筑起坚实的产业护城河。</w:t>
      </w:r>
      <w:bookmarkEnd w:id="21"/>
      <w:bookmarkStart w:id="22" w:name="_Toc13520"/>
      <w:bookmarkStart w:id="23" w:name="_Toc16879"/>
    </w:p>
    <w:p w14:paraId="05ACE102">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lang w:val="en-US" w:eastAsia="zh-CN" w:bidi="ar-SA"/>
        </w:rPr>
      </w:pPr>
    </w:p>
    <w:p w14:paraId="5952FE8E">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rPr>
      </w:pPr>
      <w:r>
        <w:rPr>
          <w:rFonts w:hint="eastAsia" w:ascii="Times New Roman" w:hAnsi="Times New Roman" w:eastAsia="方正小标宋_GBK" w:cs="Times New Roman"/>
          <w:color w:val="auto"/>
          <w:spacing w:val="11"/>
          <w:kern w:val="44"/>
          <w:sz w:val="36"/>
          <w:szCs w:val="36"/>
          <w:lang w:val="en-US" w:eastAsia="zh-CN" w:bidi="ar-SA"/>
        </w:rPr>
        <w:t xml:space="preserve">第二章 </w:t>
      </w:r>
      <w:r>
        <w:rPr>
          <w:rFonts w:hint="eastAsia" w:ascii="Times New Roman" w:hAnsi="Times New Roman" w:eastAsia="方正小标宋_GBK" w:cs="Times New Roman"/>
          <w:color w:val="auto"/>
          <w:spacing w:val="11"/>
          <w:kern w:val="44"/>
          <w:sz w:val="36"/>
          <w:szCs w:val="36"/>
        </w:rPr>
        <w:t>总体思路与发展目标</w:t>
      </w:r>
      <w:bookmarkEnd w:id="22"/>
      <w:bookmarkEnd w:id="23"/>
    </w:p>
    <w:p w14:paraId="14AE0F5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24" w:name="_Toc22380"/>
      <w:bookmarkStart w:id="25" w:name="_Toc31973"/>
      <w:r>
        <w:rPr>
          <w:rFonts w:hint="eastAsia" w:ascii="Times New Roman" w:hAnsi="Times New Roman" w:eastAsia="黑体" w:cs="Times New Roman"/>
          <w:color w:val="auto"/>
          <w:sz w:val="32"/>
          <w:szCs w:val="32"/>
          <w:highlight w:val="none"/>
        </w:rPr>
        <w:t>第一节 指导思想</w:t>
      </w:r>
      <w:bookmarkEnd w:id="24"/>
      <w:bookmarkEnd w:id="25"/>
    </w:p>
    <w:p w14:paraId="7D5015A0">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方正仿宋_GBK" w:hAnsi="方正仿宋_GBK" w:eastAsia="方正仿宋_GBK" w:cs="方正仿宋_GBK"/>
          <w:color w:val="auto"/>
          <w:sz w:val="32"/>
          <w:szCs w:val="32"/>
          <w:highlight w:val="none"/>
        </w:rPr>
      </w:pPr>
      <w:bookmarkStart w:id="26" w:name="_Toc27797"/>
      <w:r>
        <w:rPr>
          <w:rFonts w:hint="eastAsia" w:ascii="方正仿宋_GBK" w:hAnsi="方正仿宋_GBK" w:eastAsia="方正仿宋_GBK" w:cs="方正仿宋_GBK"/>
          <w:color w:val="auto"/>
          <w:sz w:val="32"/>
          <w:szCs w:val="32"/>
          <w:highlight w:val="none"/>
        </w:rPr>
        <w:t>以习近平新时代中国特色社会主义思想为指导，全面贯彻党的二十大和二十届二中、三中、四中全会精神，立足新发展阶段，完整、准确、全面贯彻新发展理念，服务和融入新发展格局。坚持“稳中求进”，以推动高质量发展为方向，坚定不移实施“制造强区”战略，全面落实“大海新晨”现代产业体系相关部署要求。聚焦“2+2+X”产业体系，深入推进新型工业化。培育壮大新质生产力，推动制造业高端化、智能化、绿色化发展，为我区全面建设全市高质量发展增长极奠定坚实的产业基础。</w:t>
      </w:r>
      <w:bookmarkEnd w:id="26"/>
    </w:p>
    <w:p w14:paraId="6D5B6EE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27" w:name="_Toc26727"/>
      <w:bookmarkStart w:id="28" w:name="_Toc25813"/>
      <w:r>
        <w:rPr>
          <w:rFonts w:hint="eastAsia" w:ascii="Times New Roman" w:hAnsi="Times New Roman" w:eastAsia="黑体" w:cs="Times New Roman"/>
          <w:color w:val="auto"/>
          <w:sz w:val="32"/>
          <w:szCs w:val="32"/>
          <w:highlight w:val="none"/>
        </w:rPr>
        <w:t>第二节 基本原则</w:t>
      </w:r>
      <w:bookmarkEnd w:id="27"/>
      <w:bookmarkEnd w:id="28"/>
    </w:p>
    <w:p w14:paraId="6141E7FC">
      <w:pPr>
        <w:pStyle w:val="10"/>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坚持市场主导，政府引导。</w:t>
      </w:r>
      <w:r>
        <w:rPr>
          <w:rFonts w:hint="eastAsia" w:ascii="方正仿宋_GBK" w:hAnsi="方正仿宋_GBK" w:eastAsia="方正仿宋_GBK" w:cs="方正仿宋_GBK"/>
          <w:b w:val="0"/>
          <w:bCs w:val="0"/>
          <w:color w:val="auto"/>
          <w:sz w:val="32"/>
          <w:szCs w:val="32"/>
          <w:highlight w:val="none"/>
        </w:rPr>
        <w:t>充分发挥市场在资源配置中的决定性作用，强化企业市场主体地位，激发企业内生动力和创新活力。更好发挥政府作用，加强战略引导，优化政策供给，营造稳定公平透明可预期的营商环境。</w:t>
      </w:r>
    </w:p>
    <w:p w14:paraId="09086A4B">
      <w:pPr>
        <w:pStyle w:val="10"/>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坚持创新驱动，人才为本。</w:t>
      </w:r>
      <w:r>
        <w:rPr>
          <w:rFonts w:hint="eastAsia" w:ascii="方正仿宋_GBK" w:hAnsi="方正仿宋_GBK" w:eastAsia="方正仿宋_GBK" w:cs="方正仿宋_GBK"/>
          <w:b w:val="0"/>
          <w:bCs w:val="0"/>
          <w:color w:val="auto"/>
          <w:sz w:val="32"/>
          <w:szCs w:val="32"/>
          <w:highlight w:val="none"/>
        </w:rPr>
        <w:t>把科技创新摆在发展全局的核心位置，强化企业创新主体地位，构建以企业为主体、市场为导向、产学研用深度融合的技术创新体系。营造一流人才发展环境，激发各类人才创新活力，以创新驱动产业转型升级。</w:t>
      </w:r>
    </w:p>
    <w:p w14:paraId="58CCB77B">
      <w:pPr>
        <w:pStyle w:val="10"/>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坚持数字赋能，融合增效。</w:t>
      </w:r>
      <w:r>
        <w:rPr>
          <w:rFonts w:hint="eastAsia" w:ascii="方正仿宋_GBK" w:hAnsi="方正仿宋_GBK" w:eastAsia="方正仿宋_GBK" w:cs="方正仿宋_GBK"/>
          <w:b w:val="0"/>
          <w:bCs w:val="0"/>
          <w:color w:val="auto"/>
          <w:sz w:val="32"/>
          <w:szCs w:val="32"/>
          <w:highlight w:val="none"/>
        </w:rPr>
        <w:t>把握数字化、网络化、智能化方向，推动新一代信息技术与制造业深度融合。加快工业互联网创新发展，以数字技术赋能产业转型升级，催生新产业、新业态、新模式，提升全要素生产率。</w:t>
      </w:r>
    </w:p>
    <w:p w14:paraId="6A221A32">
      <w:pPr>
        <w:pStyle w:val="10"/>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坚持绿色低碳，可持续发展。</w:t>
      </w:r>
      <w:r>
        <w:rPr>
          <w:rFonts w:hint="eastAsia" w:ascii="方正仿宋_GBK" w:hAnsi="方正仿宋_GBK" w:eastAsia="方正仿宋_GBK" w:cs="方正仿宋_GBK"/>
          <w:b w:val="0"/>
          <w:bCs w:val="0"/>
          <w:color w:val="auto"/>
          <w:sz w:val="32"/>
          <w:szCs w:val="32"/>
          <w:highlight w:val="none"/>
        </w:rPr>
        <w:t>牢固树立和践行绿水青山就是金山银山的理念，落实碳达峰碳中和战略部署。推动产业结构优化升级，加快绿色低碳技术研发应用，构建高效、清洁、低碳、循环的绿色制造体系，促进经济社会发展全面绿色转型。</w:t>
      </w:r>
    </w:p>
    <w:p w14:paraId="7A51E242">
      <w:pPr>
        <w:keepNext w:val="0"/>
        <w:keepLines w:val="0"/>
        <w:pageBreakBefore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方正仿宋_GBK" w:hAnsi="方正仿宋_GBK" w:eastAsia="方正仿宋_GBK" w:cs="方正仿宋_GBK"/>
          <w:b w:val="0"/>
          <w:bCs w:val="0"/>
          <w:color w:val="auto"/>
          <w:sz w:val="32"/>
          <w:szCs w:val="32"/>
          <w:highlight w:val="none"/>
        </w:rPr>
      </w:pPr>
      <w:bookmarkStart w:id="29" w:name="_Toc20094"/>
      <w:r>
        <w:rPr>
          <w:rFonts w:hint="eastAsia" w:ascii="楷体" w:hAnsi="楷体" w:eastAsia="楷体" w:cs="楷体"/>
          <w:b w:val="0"/>
          <w:bCs w:val="0"/>
          <w:color w:val="auto"/>
          <w:sz w:val="32"/>
          <w:szCs w:val="32"/>
          <w:highlight w:val="none"/>
        </w:rPr>
        <w:t>坚持开放合作，协同发展。</w:t>
      </w:r>
      <w:r>
        <w:rPr>
          <w:rFonts w:hint="eastAsia" w:ascii="方正仿宋_GBK" w:hAnsi="方正仿宋_GBK" w:eastAsia="方正仿宋_GBK" w:cs="方正仿宋_GBK"/>
          <w:b w:val="0"/>
          <w:bCs w:val="0"/>
          <w:color w:val="auto"/>
          <w:sz w:val="32"/>
          <w:szCs w:val="32"/>
          <w:highlight w:val="none"/>
        </w:rPr>
        <w:t>主动融入国家区域重大战略，在更大范围、更宽领域、更深层次参与产业分工与合作。推动区内产业协同布局和园区联动发展，促进大中小企业融通发展，构建优势互补、协同高效的产业发展新格局。</w:t>
      </w:r>
      <w:bookmarkEnd w:id="29"/>
    </w:p>
    <w:p w14:paraId="40C120B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30" w:name="_Toc7338"/>
      <w:bookmarkStart w:id="31" w:name="_Toc11591"/>
      <w:r>
        <w:rPr>
          <w:rFonts w:hint="eastAsia" w:ascii="Times New Roman" w:hAnsi="Times New Roman" w:eastAsia="黑体" w:cs="Times New Roman"/>
          <w:color w:val="auto"/>
          <w:sz w:val="32"/>
          <w:szCs w:val="32"/>
          <w:highlight w:val="none"/>
          <w:lang w:val="en-US" w:eastAsia="zh-CN"/>
        </w:rPr>
        <w:t xml:space="preserve">第三节 </w:t>
      </w:r>
      <w:r>
        <w:rPr>
          <w:rFonts w:hint="eastAsia" w:ascii="Times New Roman" w:hAnsi="Times New Roman" w:eastAsia="黑体" w:cs="Times New Roman"/>
          <w:color w:val="auto"/>
          <w:sz w:val="32"/>
          <w:szCs w:val="32"/>
          <w:highlight w:val="none"/>
        </w:rPr>
        <w:t>发展目标</w:t>
      </w:r>
      <w:bookmarkEnd w:id="30"/>
      <w:bookmarkEnd w:id="31"/>
    </w:p>
    <w:p w14:paraId="4198FAA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产业综合实力</w:t>
      </w:r>
      <w:r>
        <w:rPr>
          <w:rFonts w:hint="eastAsia" w:ascii="楷体" w:hAnsi="楷体" w:eastAsia="楷体" w:cs="楷体"/>
          <w:b w:val="0"/>
          <w:bCs w:val="0"/>
          <w:color w:val="auto"/>
          <w:sz w:val="32"/>
          <w:szCs w:val="32"/>
          <w:highlight w:val="none"/>
          <w:lang w:eastAsia="zh-CN"/>
        </w:rPr>
        <w:t>站上新台阶</w:t>
      </w:r>
      <w:r>
        <w:rPr>
          <w:rFonts w:hint="eastAsia" w:ascii="楷体" w:hAnsi="楷体" w:eastAsia="楷体" w:cs="楷体"/>
          <w:b w:val="0"/>
          <w:bCs w:val="0"/>
          <w:color w:val="auto"/>
          <w:sz w:val="32"/>
          <w:szCs w:val="32"/>
          <w:highlight w:val="none"/>
        </w:rPr>
        <w:t>。</w:t>
      </w:r>
      <w:r>
        <w:rPr>
          <w:rFonts w:hint="eastAsia" w:ascii="楷体" w:hAnsi="楷体" w:eastAsia="楷体" w:cs="楷体"/>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eastAsia="zh-CN"/>
        </w:rPr>
        <w:t>十五五</w:t>
      </w:r>
      <w:r>
        <w:rPr>
          <w:rFonts w:hint="eastAsia" w:ascii="楷体" w:hAnsi="楷体" w:eastAsia="楷体" w:cs="楷体"/>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eastAsia="zh-CN"/>
        </w:rPr>
        <w:t>期间，</w:t>
      </w:r>
      <w:r>
        <w:rPr>
          <w:rFonts w:hint="eastAsia" w:ascii="方正仿宋_GBK" w:hAnsi="方正仿宋_GBK" w:eastAsia="方正仿宋_GBK" w:cs="方正仿宋_GBK"/>
          <w:b w:val="0"/>
          <w:bCs w:val="0"/>
          <w:color w:val="auto"/>
          <w:sz w:val="32"/>
          <w:szCs w:val="32"/>
          <w:highlight w:val="none"/>
        </w:rPr>
        <w:t>全区</w:t>
      </w:r>
      <w:r>
        <w:rPr>
          <w:rFonts w:hint="eastAsia" w:ascii="方正仿宋_GBK" w:hAnsi="方正仿宋_GBK" w:eastAsia="方正仿宋_GBK" w:cs="方正仿宋_GBK"/>
          <w:b w:val="0"/>
          <w:bCs w:val="0"/>
          <w:color w:val="auto"/>
          <w:sz w:val="32"/>
          <w:szCs w:val="32"/>
          <w:highlight w:val="none"/>
          <w:lang w:eastAsia="zh-CN"/>
        </w:rPr>
        <w:t>征收期规上</w:t>
      </w:r>
      <w:r>
        <w:rPr>
          <w:rFonts w:hint="eastAsia" w:ascii="方正仿宋_GBK" w:hAnsi="方正仿宋_GBK" w:eastAsia="方正仿宋_GBK" w:cs="方正仿宋_GBK"/>
          <w:b w:val="0"/>
          <w:bCs w:val="0"/>
          <w:color w:val="auto"/>
          <w:sz w:val="32"/>
          <w:szCs w:val="32"/>
          <w:highlight w:val="none"/>
        </w:rPr>
        <w:t>工业开票销售年均增速5%。</w:t>
      </w:r>
      <w:r>
        <w:rPr>
          <w:rFonts w:hint="eastAsia" w:ascii="方正仿宋_GBK" w:hAnsi="方正仿宋_GBK" w:eastAsia="方正仿宋_GBK" w:cs="方正仿宋_GBK"/>
          <w:b w:val="0"/>
          <w:bCs w:val="0"/>
          <w:color w:val="auto"/>
          <w:sz w:val="32"/>
          <w:szCs w:val="32"/>
          <w:highlight w:val="none"/>
          <w:lang w:eastAsia="zh-CN"/>
        </w:rPr>
        <w:t>规上</w:t>
      </w:r>
      <w:r>
        <w:rPr>
          <w:rFonts w:hint="eastAsia" w:ascii="方正仿宋_GBK" w:hAnsi="方正仿宋_GBK" w:eastAsia="方正仿宋_GBK" w:cs="方正仿宋_GBK"/>
          <w:b w:val="0"/>
          <w:bCs w:val="0"/>
          <w:color w:val="auto"/>
          <w:sz w:val="32"/>
          <w:szCs w:val="32"/>
          <w:highlight w:val="none"/>
        </w:rPr>
        <w:t>制造业增加值年均增幅</w:t>
      </w:r>
      <w:r>
        <w:rPr>
          <w:rFonts w:hint="eastAsia" w:ascii="方正仿宋_GBK" w:hAnsi="方正仿宋_GBK" w:eastAsia="方正仿宋_GBK" w:cs="方正仿宋_GBK"/>
          <w:b w:val="0"/>
          <w:bCs w:val="0"/>
          <w:color w:val="auto"/>
          <w:sz w:val="32"/>
          <w:szCs w:val="32"/>
          <w:highlight w:val="none"/>
          <w:lang w:val="en-US" w:eastAsia="zh-CN"/>
        </w:rPr>
        <w:t>5.5</w:t>
      </w:r>
      <w:r>
        <w:rPr>
          <w:rFonts w:hint="eastAsia" w:ascii="方正仿宋_GBK" w:hAnsi="方正仿宋_GBK" w:eastAsia="方正仿宋_GBK" w:cs="方正仿宋_GBK"/>
          <w:b w:val="0"/>
          <w:bCs w:val="0"/>
          <w:color w:val="auto"/>
          <w:sz w:val="32"/>
          <w:szCs w:val="32"/>
          <w:highlight w:val="none"/>
        </w:rPr>
        <w:t>%，占地区生产总值比重3</w:t>
      </w:r>
      <w:r>
        <w:rPr>
          <w:rFonts w:hint="eastAsia" w:ascii="方正仿宋_GBK" w:hAnsi="方正仿宋_GBK" w:eastAsia="方正仿宋_GBK" w:cs="方正仿宋_GBK"/>
          <w:b w:val="0"/>
          <w:bCs w:val="0"/>
          <w:color w:val="auto"/>
          <w:sz w:val="32"/>
          <w:szCs w:val="32"/>
          <w:highlight w:val="none"/>
          <w:lang w:val="en-US" w:eastAsia="zh-CN"/>
        </w:rPr>
        <w:t>3</w:t>
      </w:r>
      <w:r>
        <w:rPr>
          <w:rFonts w:hint="eastAsia" w:ascii="方正仿宋_GBK" w:hAnsi="方正仿宋_GBK" w:eastAsia="方正仿宋_GBK" w:cs="方正仿宋_GBK"/>
          <w:b w:val="0"/>
          <w:bCs w:val="0"/>
          <w:color w:val="auto"/>
          <w:sz w:val="32"/>
          <w:szCs w:val="32"/>
          <w:highlight w:val="none"/>
        </w:rPr>
        <w:t xml:space="preserve"> %。龙头企业引领作用更加突出，</w:t>
      </w:r>
      <w:r>
        <w:rPr>
          <w:rFonts w:hint="eastAsia" w:ascii="方正仿宋_GBK" w:hAnsi="方正仿宋_GBK" w:eastAsia="方正仿宋_GBK" w:cs="方正仿宋_GBK"/>
          <w:b w:val="0"/>
          <w:bCs w:val="0"/>
          <w:color w:val="auto"/>
          <w:sz w:val="32"/>
          <w:szCs w:val="32"/>
          <w:highlight w:val="none"/>
          <w:lang w:eastAsia="zh-CN"/>
        </w:rPr>
        <w:t>到</w:t>
      </w:r>
      <w:r>
        <w:rPr>
          <w:rFonts w:hint="eastAsia" w:ascii="方正仿宋_GBK" w:hAnsi="方正仿宋_GBK" w:eastAsia="方正仿宋_GBK" w:cs="方正仿宋_GBK"/>
          <w:b w:val="0"/>
          <w:bCs w:val="0"/>
          <w:color w:val="auto"/>
          <w:sz w:val="32"/>
          <w:szCs w:val="32"/>
          <w:highlight w:val="none"/>
          <w:lang w:val="en-US" w:eastAsia="zh-CN"/>
        </w:rPr>
        <w:t>2030年，</w:t>
      </w:r>
      <w:r>
        <w:rPr>
          <w:rFonts w:hint="eastAsia" w:ascii="方正仿宋_GBK" w:hAnsi="方正仿宋_GBK" w:eastAsia="方正仿宋_GBK" w:cs="方正仿宋_GBK"/>
          <w:b w:val="0"/>
          <w:bCs w:val="0"/>
          <w:color w:val="auto"/>
          <w:sz w:val="32"/>
          <w:szCs w:val="32"/>
          <w:highlight w:val="none"/>
        </w:rPr>
        <w:t>力争培育百亿级企业1家、50-100亿级企业1家、20-50亿元企业5家，亿元以上企业180家，规上工业企业</w:t>
      </w:r>
      <w:r>
        <w:rPr>
          <w:rFonts w:hint="eastAsia" w:ascii="方正仿宋_GBK" w:hAnsi="方正仿宋_GBK" w:eastAsia="方正仿宋_GBK" w:cs="方正仿宋_GBK"/>
          <w:b w:val="0"/>
          <w:bCs w:val="0"/>
          <w:color w:val="auto"/>
          <w:sz w:val="32"/>
          <w:szCs w:val="32"/>
          <w:highlight w:val="none"/>
          <w:lang w:eastAsia="zh-CN"/>
        </w:rPr>
        <w:t>年均新增</w:t>
      </w:r>
      <w:r>
        <w:rPr>
          <w:rFonts w:hint="eastAsia" w:ascii="方正仿宋_GBK" w:hAnsi="方正仿宋_GBK" w:eastAsia="方正仿宋_GBK" w:cs="方正仿宋_GBK"/>
          <w:b w:val="0"/>
          <w:bCs w:val="0"/>
          <w:color w:val="auto"/>
          <w:sz w:val="32"/>
          <w:szCs w:val="32"/>
          <w:highlight w:val="none"/>
          <w:lang w:val="en-US" w:eastAsia="zh-CN"/>
        </w:rPr>
        <w:t>40家</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五年新增</w:t>
      </w:r>
      <w:r>
        <w:rPr>
          <w:rFonts w:hint="eastAsia" w:ascii="方正仿宋_GBK" w:hAnsi="方正仿宋_GBK" w:eastAsia="方正仿宋_GBK" w:cs="方正仿宋_GBK"/>
          <w:b w:val="0"/>
          <w:bCs w:val="0"/>
          <w:color w:val="auto"/>
          <w:sz w:val="32"/>
          <w:szCs w:val="32"/>
          <w:highlight w:val="none"/>
        </w:rPr>
        <w:t>省级以上专精特新企业</w:t>
      </w:r>
      <w:r>
        <w:rPr>
          <w:rFonts w:hint="eastAsia" w:ascii="方正仿宋_GBK" w:hAnsi="方正仿宋_GBK" w:eastAsia="方正仿宋_GBK" w:cs="方正仿宋_GBK"/>
          <w:b w:val="0"/>
          <w:bCs w:val="0"/>
          <w:color w:val="auto"/>
          <w:sz w:val="32"/>
          <w:szCs w:val="32"/>
          <w:highlight w:val="none"/>
          <w:lang w:val="en-US" w:eastAsia="zh-CN"/>
        </w:rPr>
        <w:t>30家</w:t>
      </w:r>
      <w:r>
        <w:rPr>
          <w:rFonts w:hint="eastAsia" w:ascii="方正仿宋_GBK" w:hAnsi="方正仿宋_GBK" w:eastAsia="方正仿宋_GBK" w:cs="方正仿宋_GBK"/>
          <w:b w:val="0"/>
          <w:bCs w:val="0"/>
          <w:color w:val="auto"/>
          <w:sz w:val="32"/>
          <w:szCs w:val="32"/>
          <w:highlight w:val="none"/>
        </w:rPr>
        <w:t>。</w:t>
      </w:r>
    </w:p>
    <w:p w14:paraId="5ACC9B1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rPr>
        <w:t>产业结构优化实现</w:t>
      </w:r>
      <w:r>
        <w:rPr>
          <w:rFonts w:hint="eastAsia" w:ascii="楷体" w:hAnsi="楷体" w:eastAsia="楷体" w:cs="楷体"/>
          <w:b w:val="0"/>
          <w:bCs w:val="0"/>
          <w:color w:val="auto"/>
          <w:sz w:val="32"/>
          <w:szCs w:val="32"/>
          <w:highlight w:val="none"/>
          <w:lang w:eastAsia="zh-CN"/>
        </w:rPr>
        <w:t>新</w:t>
      </w:r>
      <w:r>
        <w:rPr>
          <w:rFonts w:hint="eastAsia" w:ascii="楷体" w:hAnsi="楷体" w:eastAsia="楷体" w:cs="楷体"/>
          <w:b w:val="0"/>
          <w:bCs w:val="0"/>
          <w:color w:val="auto"/>
          <w:sz w:val="32"/>
          <w:szCs w:val="32"/>
          <w:highlight w:val="none"/>
        </w:rPr>
        <w:t>突破。</w:t>
      </w:r>
      <w:r>
        <w:rPr>
          <w:rFonts w:hint="eastAsia" w:ascii="方正仿宋_GBK" w:hAnsi="方正仿宋_GBK" w:eastAsia="方正仿宋_GBK" w:cs="方正仿宋_GBK"/>
          <w:b w:val="0"/>
          <w:bCs w:val="0"/>
          <w:color w:val="auto"/>
          <w:sz w:val="32"/>
          <w:szCs w:val="32"/>
          <w:highlight w:val="none"/>
          <w:lang w:val="en-US" w:eastAsia="zh-CN"/>
        </w:rPr>
        <w:t>“2+2+X”产业体系基本建成（汽车零部件及油气海工装备、新能源、医药健康、新一代电子信息技术、未来产业），占规上工业产值比重达到65%以上，培育形成1个在长三角地区具有一定影响和竞争力的特色产业集群。</w:t>
      </w:r>
    </w:p>
    <w:p w14:paraId="70D4BE8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rPr>
        <w:t>创新驱动发展形成</w:t>
      </w:r>
      <w:bookmarkStart w:id="179" w:name="_GoBack"/>
      <w:bookmarkEnd w:id="179"/>
      <w:r>
        <w:rPr>
          <w:rFonts w:hint="eastAsia" w:ascii="楷体" w:hAnsi="楷体" w:eastAsia="楷体" w:cs="楷体"/>
          <w:b w:val="0"/>
          <w:bCs w:val="0"/>
          <w:color w:val="auto"/>
          <w:sz w:val="32"/>
          <w:szCs w:val="32"/>
          <w:highlight w:val="none"/>
        </w:rPr>
        <w:t>新优势。</w:t>
      </w:r>
      <w:r>
        <w:rPr>
          <w:rFonts w:hint="eastAsia" w:ascii="方正仿宋_GBK" w:hAnsi="方正仿宋_GBK" w:eastAsia="方正仿宋_GBK" w:cs="方正仿宋_GBK"/>
          <w:b w:val="0"/>
          <w:bCs w:val="0"/>
          <w:color w:val="auto"/>
          <w:sz w:val="32"/>
          <w:szCs w:val="32"/>
          <w:highlight w:val="none"/>
          <w:lang w:val="en-US" w:eastAsia="zh-CN"/>
        </w:rPr>
        <w:t>企业创新主体地位更加突出，产学研用深度融合。新创成省级首台（套）重大装备2-3个，新增省级以上企业技术中心25家，200个以上新技术新产品进入省重点推广应用目录。</w:t>
      </w:r>
    </w:p>
    <w:p w14:paraId="18CA516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rPr>
      </w:pPr>
      <w:r>
        <w:rPr>
          <w:rFonts w:hint="eastAsia" w:ascii="楷体" w:hAnsi="楷体" w:eastAsia="楷体" w:cs="楷体"/>
          <w:b w:val="0"/>
          <w:bCs w:val="0"/>
          <w:color w:val="auto"/>
          <w:sz w:val="32"/>
          <w:szCs w:val="32"/>
          <w:highlight w:val="none"/>
        </w:rPr>
        <w:t>绿色低碳发展取得新成效。</w:t>
      </w:r>
      <w:r>
        <w:rPr>
          <w:rFonts w:hint="eastAsia" w:ascii="方正仿宋_GBK" w:hAnsi="方正仿宋_GBK" w:eastAsia="方正仿宋_GBK" w:cs="方正仿宋_GBK"/>
          <w:b w:val="0"/>
          <w:bCs w:val="0"/>
          <w:color w:val="auto"/>
          <w:sz w:val="32"/>
          <w:szCs w:val="32"/>
          <w:highlight w:val="none"/>
          <w:lang w:eastAsia="zh-CN"/>
        </w:rPr>
        <w:t>能耗</w:t>
      </w:r>
      <w:r>
        <w:rPr>
          <w:rFonts w:hint="eastAsia" w:ascii="方正仿宋_GBK" w:hAnsi="方正仿宋_GBK" w:eastAsia="方正仿宋_GBK" w:cs="方正仿宋_GBK"/>
          <w:b w:val="0"/>
          <w:bCs w:val="0"/>
          <w:color w:val="auto"/>
          <w:sz w:val="32"/>
          <w:szCs w:val="32"/>
          <w:highlight w:val="none"/>
        </w:rPr>
        <w:t>强度持续下降，完善绿色工厂、绿色园区的培育评价机制</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支持有条件的企业和园区率先开展</w:t>
      </w:r>
      <w:r>
        <w:rPr>
          <w:rFonts w:hint="eastAsia" w:ascii="方正仿宋_GBK" w:hAnsi="方正仿宋_GBK" w:eastAsia="方正仿宋_GBK" w:cs="方正仿宋_GBK"/>
          <w:b w:val="0"/>
          <w:bCs w:val="0"/>
          <w:color w:val="auto"/>
          <w:sz w:val="32"/>
          <w:szCs w:val="32"/>
          <w:highlight w:val="none"/>
          <w:lang w:eastAsia="zh-CN"/>
        </w:rPr>
        <w:t>建设。</w:t>
      </w:r>
      <w:r>
        <w:rPr>
          <w:rFonts w:hint="eastAsia" w:ascii="方正仿宋_GBK" w:hAnsi="方正仿宋_GBK" w:eastAsia="方正仿宋_GBK" w:cs="方正仿宋_GBK"/>
          <w:b w:val="0"/>
          <w:bCs w:val="0"/>
          <w:color w:val="auto"/>
          <w:sz w:val="32"/>
          <w:szCs w:val="32"/>
          <w:highlight w:val="none"/>
        </w:rPr>
        <w:t>五年内新创成省级以上绿色工厂30家、（近）零碳工厂</w:t>
      </w:r>
      <w:r>
        <w:rPr>
          <w:rFonts w:hint="eastAsia" w:ascii="方正仿宋_GBK" w:hAnsi="方正仿宋_GBK" w:eastAsia="方正仿宋_GBK" w:cs="方正仿宋_GBK"/>
          <w:b w:val="0"/>
          <w:bCs w:val="0"/>
          <w:color w:val="auto"/>
          <w:sz w:val="32"/>
          <w:szCs w:val="32"/>
          <w:highlight w:val="none"/>
          <w:lang w:eastAsia="zh-CN"/>
        </w:rPr>
        <w:t>、园区</w:t>
      </w:r>
      <w:r>
        <w:rPr>
          <w:rFonts w:hint="eastAsia" w:ascii="方正仿宋_GBK" w:hAnsi="方正仿宋_GBK" w:eastAsia="方正仿宋_GBK" w:cs="方正仿宋_GBK"/>
          <w:b w:val="0"/>
          <w:bCs w:val="0"/>
          <w:color w:val="auto"/>
          <w:sz w:val="32"/>
          <w:szCs w:val="32"/>
          <w:highlight w:val="none"/>
          <w:lang w:val="en-US" w:eastAsia="zh-CN"/>
        </w:rPr>
        <w:t>3</w:t>
      </w:r>
      <w:r>
        <w:rPr>
          <w:rFonts w:hint="eastAsia" w:ascii="方正仿宋_GBK" w:hAnsi="方正仿宋_GBK" w:eastAsia="方正仿宋_GBK" w:cs="方正仿宋_GBK"/>
          <w:b w:val="0"/>
          <w:bCs w:val="0"/>
          <w:color w:val="auto"/>
          <w:sz w:val="32"/>
          <w:szCs w:val="32"/>
          <w:highlight w:val="none"/>
        </w:rPr>
        <w:t>家。</w:t>
      </w:r>
    </w:p>
    <w:p w14:paraId="50DD784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楷体" w:hAnsi="楷体" w:eastAsia="楷体" w:cs="楷体"/>
          <w:b w:val="0"/>
          <w:bCs w:val="0"/>
          <w:color w:val="auto"/>
          <w:sz w:val="32"/>
          <w:szCs w:val="32"/>
          <w:highlight w:val="none"/>
        </w:rPr>
        <w:t>数字智能转型达到新</w:t>
      </w:r>
      <w:r>
        <w:rPr>
          <w:rFonts w:hint="eastAsia" w:ascii="楷体" w:hAnsi="楷体" w:eastAsia="楷体" w:cs="楷体"/>
          <w:b w:val="0"/>
          <w:bCs w:val="0"/>
          <w:color w:val="auto"/>
          <w:sz w:val="32"/>
          <w:szCs w:val="32"/>
          <w:highlight w:val="none"/>
          <w:lang w:eastAsia="zh-CN"/>
        </w:rPr>
        <w:t>层次</w:t>
      </w:r>
      <w:r>
        <w:rPr>
          <w:rFonts w:hint="eastAsia" w:ascii="楷体" w:hAnsi="楷体" w:eastAsia="楷体" w:cs="楷体"/>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rPr>
        <w:t>制造业数字化转型深入推进，工业互联网融合应用更加广泛，智能制造发展水平显著提升。</w:t>
      </w:r>
      <w:r>
        <w:rPr>
          <w:rFonts w:hint="eastAsia" w:ascii="方正仿宋_GBK" w:hAnsi="方正仿宋_GBK" w:eastAsia="方正仿宋_GBK" w:cs="方正仿宋_GBK"/>
          <w:b w:val="0"/>
          <w:bCs w:val="0"/>
          <w:color w:val="auto"/>
          <w:sz w:val="32"/>
          <w:szCs w:val="32"/>
          <w:highlight w:val="none"/>
          <w:lang w:val="en-US" w:eastAsia="zh-CN"/>
        </w:rPr>
        <w:t>新建成先进级智能工厂30家，卓越级智能工厂1-2家，省重点工业互联网平台3-5个，</w:t>
      </w:r>
      <w:r>
        <w:rPr>
          <w:rFonts w:hint="eastAsia" w:ascii="方正仿宋_GBK" w:hAnsi="方正仿宋_GBK" w:eastAsia="方正仿宋_GBK" w:cs="方正仿宋_GBK"/>
          <w:b w:val="0"/>
          <w:bCs w:val="0"/>
          <w:color w:val="auto"/>
          <w:sz w:val="32"/>
          <w:szCs w:val="32"/>
          <w:highlight w:val="none"/>
        </w:rPr>
        <w:t>基础级智能工厂规上工业企业覆盖率达到</w:t>
      </w:r>
      <w:r>
        <w:rPr>
          <w:rFonts w:hint="eastAsia" w:ascii="方正仿宋_GBK" w:hAnsi="方正仿宋_GBK" w:eastAsia="方正仿宋_GBK" w:cs="方正仿宋_GBK"/>
          <w:b w:val="0"/>
          <w:bCs w:val="0"/>
          <w:color w:val="auto"/>
          <w:sz w:val="32"/>
          <w:szCs w:val="32"/>
          <w:highlight w:val="none"/>
          <w:lang w:val="en-US" w:eastAsia="zh-CN"/>
        </w:rPr>
        <w:t>40</w:t>
      </w:r>
      <w:r>
        <w:rPr>
          <w:rFonts w:hint="eastAsia" w:ascii="方正仿宋_GBK" w:hAnsi="方正仿宋_GBK" w:eastAsia="方正仿宋_GBK" w:cs="方正仿宋_GBK"/>
          <w:b w:val="0"/>
          <w:bCs w:val="0"/>
          <w:color w:val="auto"/>
          <w:sz w:val="32"/>
          <w:szCs w:val="32"/>
          <w:highlight w:val="none"/>
        </w:rPr>
        <w:t>%</w:t>
      </w:r>
      <w:r>
        <w:rPr>
          <w:rFonts w:hint="eastAsia" w:ascii="方正仿宋_GBK" w:hAnsi="方正仿宋_GBK" w:eastAsia="方正仿宋_GBK" w:cs="方正仿宋_GBK"/>
          <w:b w:val="0"/>
          <w:bCs w:val="0"/>
          <w:color w:val="auto"/>
          <w:sz w:val="32"/>
          <w:szCs w:val="32"/>
          <w:highlight w:val="none"/>
          <w:lang w:eastAsia="zh-CN"/>
        </w:rPr>
        <w:t>。</w:t>
      </w:r>
    </w:p>
    <w:p w14:paraId="0EE9812B">
      <w:pPr>
        <w:pStyle w:val="2"/>
        <w:jc w:val="center"/>
        <w:rPr>
          <w:rFonts w:hint="eastAsia" w:ascii="黑体" w:hAnsi="黑体" w:eastAsia="黑体" w:cs="黑体"/>
          <w:color w:val="auto"/>
          <w:sz w:val="24"/>
          <w:szCs w:val="24"/>
          <w:highlight w:val="none"/>
        </w:rPr>
      </w:pPr>
      <w:r>
        <w:rPr>
          <w:color w:val="auto"/>
          <w:highlight w:val="none"/>
        </w:rPr>
        <w:br w:type="page"/>
      </w:r>
      <w:bookmarkStart w:id="32" w:name="_Toc17588"/>
      <w:r>
        <w:rPr>
          <w:rFonts w:hint="eastAsia" w:ascii="黑体" w:hAnsi="黑体" w:eastAsia="黑体" w:cs="黑体"/>
          <w:color w:val="auto"/>
          <w:sz w:val="24"/>
          <w:szCs w:val="16"/>
          <w:highlight w:val="none"/>
          <w:lang w:eastAsia="zh-CN"/>
        </w:rPr>
        <w:t>表</w:t>
      </w:r>
      <w:r>
        <w:rPr>
          <w:rFonts w:hint="eastAsia" w:ascii="黑体" w:hAnsi="黑体" w:eastAsia="黑体" w:cs="黑体"/>
          <w:color w:val="auto"/>
          <w:sz w:val="24"/>
          <w:szCs w:val="16"/>
          <w:highlight w:val="none"/>
          <w:lang w:val="en-US" w:eastAsia="zh-CN"/>
        </w:rPr>
        <w:t>2：</w:t>
      </w:r>
      <w:r>
        <w:rPr>
          <w:rFonts w:hint="eastAsia" w:ascii="黑体" w:hAnsi="黑体" w:eastAsia="黑体" w:cs="黑体"/>
          <w:color w:val="auto"/>
          <w:sz w:val="24"/>
          <w:szCs w:val="24"/>
          <w:highlight w:val="none"/>
        </w:rPr>
        <w:t>姜堰区“十五五”期间新型工业化主要指标预期</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6"/>
        <w:gridCol w:w="3027"/>
        <w:gridCol w:w="1347"/>
        <w:gridCol w:w="1717"/>
        <w:gridCol w:w="1601"/>
      </w:tblGrid>
      <w:tr w14:paraId="4EA5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26" w:type="dxa"/>
            <w:noWrap w:val="0"/>
            <w:vAlign w:val="center"/>
          </w:tcPr>
          <w:p w14:paraId="61CC4E76">
            <w:pPr>
              <w:jc w:val="center"/>
              <w:outlineLvl w:val="0"/>
              <w:rPr>
                <w:rFonts w:hint="default" w:ascii="Times New Roman" w:hAnsi="Times New Roman" w:eastAsia="宋体" w:cs="Times New Roman"/>
                <w:color w:val="auto"/>
                <w:szCs w:val="21"/>
                <w:highlight w:val="none"/>
              </w:rPr>
            </w:pPr>
            <w:bookmarkStart w:id="33" w:name="_Toc21932"/>
            <w:r>
              <w:rPr>
                <w:rFonts w:hint="default" w:ascii="Times New Roman" w:hAnsi="Times New Roman" w:eastAsia="宋体" w:cs="Times New Roman"/>
                <w:color w:val="auto"/>
                <w:szCs w:val="21"/>
                <w:highlight w:val="none"/>
              </w:rPr>
              <w:t>大类</w:t>
            </w:r>
            <w:bookmarkEnd w:id="33"/>
          </w:p>
        </w:tc>
        <w:tc>
          <w:tcPr>
            <w:tcW w:w="3027" w:type="dxa"/>
            <w:noWrap w:val="0"/>
            <w:vAlign w:val="center"/>
          </w:tcPr>
          <w:p w14:paraId="05217289">
            <w:pPr>
              <w:jc w:val="center"/>
              <w:outlineLvl w:val="0"/>
              <w:rPr>
                <w:rFonts w:hint="default" w:ascii="Times New Roman" w:hAnsi="Times New Roman" w:eastAsia="宋体" w:cs="Times New Roman"/>
                <w:color w:val="auto"/>
                <w:szCs w:val="21"/>
                <w:highlight w:val="none"/>
              </w:rPr>
            </w:pPr>
            <w:bookmarkStart w:id="34" w:name="_Toc15060"/>
            <w:r>
              <w:rPr>
                <w:rFonts w:hint="default" w:ascii="Times New Roman" w:hAnsi="Times New Roman" w:eastAsia="宋体" w:cs="Times New Roman"/>
                <w:color w:val="auto"/>
                <w:szCs w:val="21"/>
                <w:highlight w:val="none"/>
              </w:rPr>
              <w:t>指标名称</w:t>
            </w:r>
            <w:bookmarkEnd w:id="34"/>
          </w:p>
        </w:tc>
        <w:tc>
          <w:tcPr>
            <w:tcW w:w="1347" w:type="dxa"/>
            <w:noWrap w:val="0"/>
            <w:vAlign w:val="center"/>
          </w:tcPr>
          <w:p w14:paraId="481314A1">
            <w:pPr>
              <w:jc w:val="center"/>
              <w:outlineLvl w:val="0"/>
              <w:rPr>
                <w:rFonts w:hint="default" w:ascii="Times New Roman" w:hAnsi="Times New Roman" w:eastAsia="宋体" w:cs="Times New Roman"/>
                <w:color w:val="auto"/>
                <w:szCs w:val="21"/>
                <w:highlight w:val="none"/>
              </w:rPr>
            </w:pPr>
            <w:bookmarkStart w:id="35" w:name="_Toc1473"/>
            <w:r>
              <w:rPr>
                <w:rFonts w:hint="default" w:ascii="Times New Roman" w:hAnsi="Times New Roman" w:eastAsia="宋体" w:cs="Times New Roman"/>
                <w:color w:val="auto"/>
                <w:szCs w:val="21"/>
                <w:highlight w:val="none"/>
              </w:rPr>
              <w:t>指标属性</w:t>
            </w:r>
            <w:bookmarkEnd w:id="35"/>
          </w:p>
        </w:tc>
        <w:tc>
          <w:tcPr>
            <w:tcW w:w="1717" w:type="dxa"/>
            <w:noWrap w:val="0"/>
            <w:vAlign w:val="center"/>
          </w:tcPr>
          <w:p w14:paraId="12C0D31E">
            <w:pPr>
              <w:jc w:val="center"/>
              <w:outlineLvl w:val="0"/>
              <w:rPr>
                <w:rFonts w:hint="default" w:ascii="Times New Roman" w:hAnsi="Times New Roman" w:eastAsia="宋体" w:cs="Times New Roman"/>
                <w:color w:val="auto"/>
                <w:szCs w:val="21"/>
                <w:highlight w:val="none"/>
                <w:lang w:eastAsia="zh-CN"/>
              </w:rPr>
            </w:pPr>
            <w:bookmarkStart w:id="36" w:name="_Toc29945"/>
            <w:r>
              <w:rPr>
                <w:rFonts w:hint="default" w:ascii="Times New Roman" w:hAnsi="Times New Roman" w:eastAsia="宋体" w:cs="Times New Roman"/>
                <w:color w:val="auto"/>
                <w:szCs w:val="21"/>
                <w:highlight w:val="none"/>
              </w:rPr>
              <w:t>2025年</w:t>
            </w:r>
            <w:r>
              <w:rPr>
                <w:rFonts w:hint="default" w:ascii="Times New Roman" w:hAnsi="Times New Roman" w:eastAsia="宋体" w:cs="Times New Roman"/>
                <w:color w:val="auto"/>
                <w:szCs w:val="21"/>
                <w:highlight w:val="none"/>
                <w:lang w:eastAsia="zh-CN"/>
              </w:rPr>
              <w:t>完成情况</w:t>
            </w:r>
            <w:bookmarkEnd w:id="36"/>
          </w:p>
        </w:tc>
        <w:tc>
          <w:tcPr>
            <w:tcW w:w="1601" w:type="dxa"/>
            <w:noWrap w:val="0"/>
            <w:vAlign w:val="center"/>
          </w:tcPr>
          <w:p w14:paraId="2B5ECA4E">
            <w:pPr>
              <w:jc w:val="center"/>
              <w:outlineLvl w:val="0"/>
              <w:rPr>
                <w:rFonts w:hint="default" w:ascii="Times New Roman" w:hAnsi="Times New Roman" w:eastAsia="宋体" w:cs="Times New Roman"/>
                <w:color w:val="auto"/>
                <w:szCs w:val="21"/>
                <w:highlight w:val="none"/>
              </w:rPr>
            </w:pPr>
            <w:bookmarkStart w:id="37" w:name="_Toc14793"/>
            <w:r>
              <w:rPr>
                <w:rFonts w:hint="default" w:ascii="Times New Roman" w:hAnsi="Times New Roman" w:eastAsia="宋体" w:cs="Times New Roman"/>
                <w:color w:val="auto"/>
                <w:szCs w:val="21"/>
                <w:highlight w:val="none"/>
              </w:rPr>
              <w:t>2030年目标</w:t>
            </w:r>
            <w:bookmarkEnd w:id="37"/>
          </w:p>
        </w:tc>
      </w:tr>
      <w:tr w14:paraId="6628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restart"/>
            <w:noWrap w:val="0"/>
            <w:vAlign w:val="center"/>
          </w:tcPr>
          <w:p w14:paraId="33678792">
            <w:pPr>
              <w:jc w:val="center"/>
              <w:outlineLvl w:val="0"/>
              <w:rPr>
                <w:rFonts w:hint="default" w:ascii="Times New Roman" w:hAnsi="Times New Roman" w:eastAsia="宋体" w:cs="Times New Roman"/>
                <w:color w:val="auto"/>
                <w:szCs w:val="21"/>
                <w:highlight w:val="none"/>
              </w:rPr>
            </w:pPr>
            <w:bookmarkStart w:id="38" w:name="_Toc27813"/>
            <w:r>
              <w:rPr>
                <w:rFonts w:hint="default" w:ascii="Times New Roman" w:hAnsi="Times New Roman" w:eastAsia="宋体" w:cs="Times New Roman"/>
                <w:color w:val="auto"/>
                <w:szCs w:val="21"/>
                <w:highlight w:val="none"/>
              </w:rPr>
              <w:t>综合实力</w:t>
            </w:r>
            <w:bookmarkEnd w:id="38"/>
          </w:p>
        </w:tc>
        <w:tc>
          <w:tcPr>
            <w:tcW w:w="3027" w:type="dxa"/>
            <w:noWrap w:val="0"/>
            <w:vAlign w:val="center"/>
          </w:tcPr>
          <w:p w14:paraId="4F969D17">
            <w:pPr>
              <w:jc w:val="center"/>
              <w:outlineLvl w:val="0"/>
              <w:rPr>
                <w:rFonts w:hint="default" w:ascii="Times New Roman" w:hAnsi="Times New Roman" w:eastAsia="宋体" w:cs="Times New Roman"/>
                <w:color w:val="auto"/>
                <w:szCs w:val="21"/>
                <w:highlight w:val="none"/>
              </w:rPr>
            </w:pPr>
            <w:bookmarkStart w:id="39" w:name="_Toc26138"/>
            <w:r>
              <w:rPr>
                <w:rFonts w:hint="default" w:ascii="Times New Roman" w:hAnsi="Times New Roman" w:eastAsia="宋体" w:cs="Times New Roman"/>
                <w:color w:val="auto"/>
                <w:szCs w:val="21"/>
                <w:highlight w:val="none"/>
                <w:lang w:eastAsia="zh-CN"/>
              </w:rPr>
              <w:t>征收期规上</w:t>
            </w:r>
            <w:r>
              <w:rPr>
                <w:rFonts w:hint="default" w:ascii="Times New Roman" w:hAnsi="Times New Roman" w:eastAsia="宋体" w:cs="Times New Roman"/>
                <w:color w:val="auto"/>
                <w:szCs w:val="21"/>
                <w:highlight w:val="none"/>
              </w:rPr>
              <w:t>工业开票销售</w:t>
            </w:r>
            <w:r>
              <w:rPr>
                <w:rFonts w:hint="default" w:ascii="Times New Roman" w:hAnsi="Times New Roman" w:eastAsia="宋体" w:cs="Times New Roman"/>
                <w:color w:val="auto"/>
                <w:szCs w:val="21"/>
                <w:highlight w:val="none"/>
                <w:lang w:eastAsia="zh-CN"/>
              </w:rPr>
              <w:t>年均增幅</w:t>
            </w:r>
            <w:r>
              <w:rPr>
                <w:rFonts w:hint="default" w:ascii="Times New Roman" w:hAnsi="Times New Roman" w:eastAsia="宋体" w:cs="Times New Roman"/>
                <w:color w:val="auto"/>
                <w:szCs w:val="21"/>
                <w:highlight w:val="none"/>
                <w:lang w:val="en-US" w:eastAsia="zh-CN"/>
              </w:rPr>
              <w:t>%</w:t>
            </w:r>
            <w:bookmarkEnd w:id="39"/>
          </w:p>
        </w:tc>
        <w:tc>
          <w:tcPr>
            <w:tcW w:w="1347" w:type="dxa"/>
            <w:noWrap w:val="0"/>
            <w:vAlign w:val="center"/>
          </w:tcPr>
          <w:p w14:paraId="36A1E762">
            <w:pPr>
              <w:jc w:val="center"/>
              <w:outlineLvl w:val="0"/>
              <w:rPr>
                <w:rFonts w:hint="default" w:ascii="Times New Roman" w:hAnsi="Times New Roman" w:eastAsia="宋体" w:cs="Times New Roman"/>
                <w:color w:val="auto"/>
                <w:szCs w:val="21"/>
                <w:highlight w:val="none"/>
              </w:rPr>
            </w:pPr>
            <w:bookmarkStart w:id="40" w:name="_Toc16847"/>
            <w:r>
              <w:rPr>
                <w:rFonts w:hint="default" w:ascii="Times New Roman" w:hAnsi="Times New Roman" w:eastAsia="宋体" w:cs="Times New Roman"/>
                <w:color w:val="auto"/>
                <w:szCs w:val="21"/>
                <w:highlight w:val="none"/>
              </w:rPr>
              <w:t>预期性</w:t>
            </w:r>
            <w:bookmarkEnd w:id="40"/>
          </w:p>
        </w:tc>
        <w:tc>
          <w:tcPr>
            <w:tcW w:w="1717" w:type="dxa"/>
            <w:noWrap w:val="0"/>
            <w:vAlign w:val="center"/>
          </w:tcPr>
          <w:p w14:paraId="272316B1">
            <w:pPr>
              <w:jc w:val="center"/>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5.5%</w:t>
            </w:r>
          </w:p>
        </w:tc>
        <w:tc>
          <w:tcPr>
            <w:tcW w:w="1601" w:type="dxa"/>
            <w:noWrap w:val="0"/>
            <w:vAlign w:val="center"/>
          </w:tcPr>
          <w:p w14:paraId="386B0FF9">
            <w:pPr>
              <w:jc w:val="center"/>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5%</w:t>
            </w:r>
          </w:p>
        </w:tc>
      </w:tr>
      <w:tr w14:paraId="14297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3F8E85EC">
            <w:pPr>
              <w:jc w:val="center"/>
              <w:outlineLvl w:val="9"/>
              <w:rPr>
                <w:rFonts w:hint="default" w:ascii="Times New Roman" w:hAnsi="Times New Roman" w:eastAsia="宋体" w:cs="Times New Roman"/>
                <w:color w:val="auto"/>
                <w:szCs w:val="21"/>
                <w:highlight w:val="none"/>
              </w:rPr>
            </w:pPr>
          </w:p>
        </w:tc>
        <w:tc>
          <w:tcPr>
            <w:tcW w:w="3027" w:type="dxa"/>
            <w:noWrap w:val="0"/>
            <w:vAlign w:val="top"/>
          </w:tcPr>
          <w:p w14:paraId="0C7DAA78">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1" w:name="_Toc7142"/>
            <w:r>
              <w:rPr>
                <w:rFonts w:hint="default" w:ascii="Times New Roman" w:hAnsi="Times New Roman" w:eastAsia="宋体" w:cs="Times New Roman"/>
                <w:color w:val="auto"/>
                <w:sz w:val="21"/>
                <w:szCs w:val="21"/>
                <w:highlight w:val="none"/>
                <w:vertAlign w:val="baseline"/>
                <w:lang w:val="en-US" w:eastAsia="zh-CN"/>
              </w:rPr>
              <w:t>规上工业产值年均增幅%</w:t>
            </w:r>
            <w:bookmarkEnd w:id="41"/>
          </w:p>
        </w:tc>
        <w:tc>
          <w:tcPr>
            <w:tcW w:w="1347" w:type="dxa"/>
            <w:noWrap w:val="0"/>
            <w:vAlign w:val="top"/>
          </w:tcPr>
          <w:p w14:paraId="11BCD873">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2" w:name="_Toc13737"/>
            <w:r>
              <w:rPr>
                <w:rFonts w:hint="default" w:ascii="Times New Roman" w:hAnsi="Times New Roman" w:eastAsia="宋体" w:cs="Times New Roman"/>
                <w:color w:val="auto"/>
                <w:sz w:val="21"/>
                <w:szCs w:val="21"/>
                <w:highlight w:val="none"/>
                <w:vertAlign w:val="baseline"/>
                <w:lang w:val="en-US" w:eastAsia="zh-CN"/>
              </w:rPr>
              <w:t>预期性</w:t>
            </w:r>
            <w:bookmarkEnd w:id="42"/>
          </w:p>
        </w:tc>
        <w:tc>
          <w:tcPr>
            <w:tcW w:w="1717" w:type="dxa"/>
            <w:noWrap w:val="0"/>
            <w:vAlign w:val="top"/>
          </w:tcPr>
          <w:p w14:paraId="5F42A4D3">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3" w:name="_Toc24891"/>
            <w:r>
              <w:rPr>
                <w:rFonts w:hint="default" w:ascii="Times New Roman" w:hAnsi="Times New Roman" w:cs="Times New Roman"/>
                <w:color w:val="auto"/>
                <w:sz w:val="21"/>
                <w:szCs w:val="21"/>
                <w:highlight w:val="none"/>
                <w:vertAlign w:val="baseline"/>
                <w:lang w:val="en-US" w:eastAsia="zh-CN"/>
              </w:rPr>
              <w:t>11.2</w:t>
            </w:r>
            <w:r>
              <w:rPr>
                <w:rFonts w:hint="default" w:ascii="Times New Roman" w:hAnsi="Times New Roman" w:eastAsia="宋体" w:cs="Times New Roman"/>
                <w:color w:val="auto"/>
                <w:sz w:val="21"/>
                <w:szCs w:val="21"/>
                <w:highlight w:val="none"/>
                <w:vertAlign w:val="baseline"/>
                <w:lang w:val="en-US" w:eastAsia="zh-CN"/>
              </w:rPr>
              <w:t>%</w:t>
            </w:r>
            <w:bookmarkEnd w:id="43"/>
          </w:p>
        </w:tc>
        <w:tc>
          <w:tcPr>
            <w:tcW w:w="1601" w:type="dxa"/>
            <w:noWrap w:val="0"/>
            <w:vAlign w:val="top"/>
          </w:tcPr>
          <w:p w14:paraId="60FDB6E9">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4" w:name="_Toc24872"/>
            <w:r>
              <w:rPr>
                <w:rFonts w:hint="default" w:ascii="Times New Roman" w:hAnsi="Times New Roman" w:eastAsia="宋体" w:cs="Times New Roman"/>
                <w:color w:val="auto"/>
                <w:sz w:val="21"/>
                <w:szCs w:val="21"/>
                <w:highlight w:val="none"/>
                <w:vertAlign w:val="baseline"/>
                <w:lang w:val="en-US" w:eastAsia="zh-CN"/>
              </w:rPr>
              <w:t>5%</w:t>
            </w:r>
            <w:bookmarkEnd w:id="44"/>
          </w:p>
        </w:tc>
      </w:tr>
      <w:tr w14:paraId="4DA2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10190627">
            <w:pPr>
              <w:jc w:val="center"/>
              <w:outlineLvl w:val="9"/>
              <w:rPr>
                <w:rFonts w:hint="default" w:ascii="Times New Roman" w:hAnsi="Times New Roman" w:eastAsia="宋体" w:cs="Times New Roman"/>
                <w:color w:val="auto"/>
                <w:szCs w:val="21"/>
                <w:highlight w:val="none"/>
              </w:rPr>
            </w:pPr>
          </w:p>
        </w:tc>
        <w:tc>
          <w:tcPr>
            <w:tcW w:w="3027" w:type="dxa"/>
            <w:noWrap w:val="0"/>
            <w:vAlign w:val="top"/>
          </w:tcPr>
          <w:p w14:paraId="7EB099A2">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5" w:name="_Toc20967"/>
            <w:r>
              <w:rPr>
                <w:rFonts w:hint="default" w:ascii="Times New Roman" w:hAnsi="Times New Roman" w:eastAsia="宋体" w:cs="Times New Roman"/>
                <w:color w:val="auto"/>
                <w:sz w:val="21"/>
                <w:szCs w:val="21"/>
                <w:highlight w:val="none"/>
                <w:vertAlign w:val="baseline"/>
                <w:lang w:val="en-US" w:eastAsia="zh-CN"/>
              </w:rPr>
              <w:t>规上工业增加值年均增幅%</w:t>
            </w:r>
            <w:bookmarkEnd w:id="45"/>
          </w:p>
        </w:tc>
        <w:tc>
          <w:tcPr>
            <w:tcW w:w="1347" w:type="dxa"/>
            <w:noWrap w:val="0"/>
            <w:vAlign w:val="top"/>
          </w:tcPr>
          <w:p w14:paraId="13F23A0E">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6" w:name="_Toc1222"/>
            <w:r>
              <w:rPr>
                <w:rFonts w:hint="default" w:ascii="Times New Roman" w:hAnsi="Times New Roman" w:eastAsia="宋体" w:cs="Times New Roman"/>
                <w:color w:val="auto"/>
                <w:sz w:val="21"/>
                <w:szCs w:val="21"/>
                <w:highlight w:val="none"/>
                <w:vertAlign w:val="baseline"/>
                <w:lang w:val="en-US" w:eastAsia="zh-CN"/>
              </w:rPr>
              <w:t>预期性</w:t>
            </w:r>
            <w:bookmarkEnd w:id="46"/>
          </w:p>
        </w:tc>
        <w:tc>
          <w:tcPr>
            <w:tcW w:w="1717" w:type="dxa"/>
            <w:noWrap w:val="0"/>
            <w:vAlign w:val="top"/>
          </w:tcPr>
          <w:p w14:paraId="6E715E0A">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7" w:name="_Toc6335"/>
            <w:r>
              <w:rPr>
                <w:rFonts w:hint="default" w:ascii="Times New Roman" w:hAnsi="Times New Roman" w:cs="Times New Roman"/>
                <w:color w:val="auto"/>
                <w:sz w:val="21"/>
                <w:szCs w:val="21"/>
                <w:highlight w:val="none"/>
                <w:vertAlign w:val="baseline"/>
                <w:lang w:val="en-US" w:eastAsia="zh-CN"/>
              </w:rPr>
              <w:t>8.4</w:t>
            </w:r>
            <w:r>
              <w:rPr>
                <w:rFonts w:hint="default" w:ascii="Times New Roman" w:hAnsi="Times New Roman" w:eastAsia="宋体" w:cs="Times New Roman"/>
                <w:color w:val="auto"/>
                <w:sz w:val="21"/>
                <w:szCs w:val="21"/>
                <w:highlight w:val="none"/>
                <w:vertAlign w:val="baseline"/>
                <w:lang w:val="en-US" w:eastAsia="zh-CN"/>
              </w:rPr>
              <w:t>%</w:t>
            </w:r>
            <w:bookmarkEnd w:id="47"/>
          </w:p>
        </w:tc>
        <w:tc>
          <w:tcPr>
            <w:tcW w:w="1601" w:type="dxa"/>
            <w:noWrap w:val="0"/>
            <w:vAlign w:val="top"/>
          </w:tcPr>
          <w:p w14:paraId="1F63AF7B">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8" w:name="_Toc25412"/>
            <w:r>
              <w:rPr>
                <w:rFonts w:hint="eastAsia" w:ascii="Times New Roman" w:hAnsi="Times New Roman" w:cs="Times New Roman"/>
                <w:color w:val="auto"/>
                <w:sz w:val="21"/>
                <w:szCs w:val="21"/>
                <w:highlight w:val="none"/>
                <w:vertAlign w:val="baseline"/>
                <w:lang w:val="en-US" w:eastAsia="zh-CN"/>
              </w:rPr>
              <w:t>5.5</w:t>
            </w:r>
            <w:r>
              <w:rPr>
                <w:rFonts w:hint="default" w:ascii="Times New Roman" w:hAnsi="Times New Roman" w:eastAsia="宋体" w:cs="Times New Roman"/>
                <w:color w:val="auto"/>
                <w:sz w:val="21"/>
                <w:szCs w:val="21"/>
                <w:highlight w:val="none"/>
                <w:vertAlign w:val="baseline"/>
                <w:lang w:val="en-US" w:eastAsia="zh-CN"/>
              </w:rPr>
              <w:t>%</w:t>
            </w:r>
            <w:bookmarkEnd w:id="48"/>
          </w:p>
        </w:tc>
      </w:tr>
      <w:tr w14:paraId="6D34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62054F48">
            <w:pPr>
              <w:jc w:val="center"/>
              <w:outlineLvl w:val="9"/>
              <w:rPr>
                <w:rFonts w:hint="default" w:ascii="Times New Roman" w:hAnsi="Times New Roman" w:eastAsia="宋体" w:cs="Times New Roman"/>
                <w:color w:val="auto"/>
                <w:szCs w:val="21"/>
                <w:highlight w:val="none"/>
              </w:rPr>
            </w:pPr>
          </w:p>
        </w:tc>
        <w:tc>
          <w:tcPr>
            <w:tcW w:w="3027" w:type="dxa"/>
            <w:noWrap w:val="0"/>
            <w:vAlign w:val="top"/>
          </w:tcPr>
          <w:p w14:paraId="35D99FA6">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49" w:name="_Toc3030"/>
            <w:r>
              <w:rPr>
                <w:rFonts w:hint="default" w:ascii="Times New Roman" w:hAnsi="Times New Roman" w:eastAsia="宋体" w:cs="Times New Roman"/>
                <w:color w:val="auto"/>
                <w:sz w:val="21"/>
                <w:szCs w:val="21"/>
                <w:highlight w:val="none"/>
                <w:vertAlign w:val="baseline"/>
                <w:lang w:val="en-US" w:eastAsia="zh-CN"/>
              </w:rPr>
              <w:t>制造业增加值占GDP的比重%</w:t>
            </w:r>
            <w:bookmarkEnd w:id="49"/>
          </w:p>
        </w:tc>
        <w:tc>
          <w:tcPr>
            <w:tcW w:w="1347" w:type="dxa"/>
            <w:noWrap w:val="0"/>
            <w:vAlign w:val="top"/>
          </w:tcPr>
          <w:p w14:paraId="4F1C3A7D">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50" w:name="_Toc26479"/>
            <w:r>
              <w:rPr>
                <w:rFonts w:hint="default" w:ascii="Times New Roman" w:hAnsi="Times New Roman" w:eastAsia="宋体" w:cs="Times New Roman"/>
                <w:color w:val="auto"/>
                <w:sz w:val="21"/>
                <w:szCs w:val="21"/>
                <w:highlight w:val="none"/>
                <w:vertAlign w:val="baseline"/>
                <w:lang w:val="en-US" w:eastAsia="zh-CN"/>
              </w:rPr>
              <w:t>预期性</w:t>
            </w:r>
            <w:bookmarkEnd w:id="50"/>
          </w:p>
        </w:tc>
        <w:tc>
          <w:tcPr>
            <w:tcW w:w="1717" w:type="dxa"/>
            <w:noWrap w:val="0"/>
            <w:vAlign w:val="top"/>
          </w:tcPr>
          <w:p w14:paraId="05775EDA">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51" w:name="_Toc19362"/>
            <w:r>
              <w:rPr>
                <w:rFonts w:hint="default" w:ascii="Times New Roman" w:hAnsi="Times New Roman" w:eastAsia="宋体" w:cs="Times New Roman"/>
                <w:color w:val="auto"/>
                <w:sz w:val="21"/>
                <w:szCs w:val="21"/>
                <w:highlight w:val="none"/>
                <w:vertAlign w:val="baseline"/>
                <w:lang w:val="en-US" w:eastAsia="zh-CN"/>
              </w:rPr>
              <w:t>29.8%</w:t>
            </w:r>
            <w:bookmarkEnd w:id="51"/>
          </w:p>
        </w:tc>
        <w:tc>
          <w:tcPr>
            <w:tcW w:w="1601" w:type="dxa"/>
            <w:noWrap w:val="0"/>
            <w:vAlign w:val="top"/>
          </w:tcPr>
          <w:p w14:paraId="30D34FDC">
            <w:pPr>
              <w:keepNext w:val="0"/>
              <w:keepLines w:val="0"/>
              <w:pageBreakBefore w:val="0"/>
              <w:kinsoku/>
              <w:wordWrap/>
              <w:overflowPunct/>
              <w:topLinePunct w:val="0"/>
              <w:autoSpaceDE/>
              <w:autoSpaceDN/>
              <w:bidi w:val="0"/>
              <w:adjustRightInd/>
              <w:spacing w:line="240" w:lineRule="auto"/>
              <w:jc w:val="center"/>
              <w:outlineLvl w:val="0"/>
              <w:rPr>
                <w:rFonts w:hint="default" w:ascii="Times New Roman" w:hAnsi="Times New Roman" w:eastAsia="宋体" w:cs="Times New Roman"/>
                <w:color w:val="auto"/>
                <w:kern w:val="2"/>
                <w:sz w:val="21"/>
                <w:szCs w:val="21"/>
                <w:highlight w:val="none"/>
                <w:vertAlign w:val="baseline"/>
                <w:lang w:val="en-US" w:eastAsia="zh-CN" w:bidi="ar-SA"/>
              </w:rPr>
            </w:pPr>
            <w:bookmarkStart w:id="52" w:name="_Toc5442"/>
            <w:r>
              <w:rPr>
                <w:rFonts w:hint="default" w:ascii="Times New Roman" w:hAnsi="Times New Roman" w:eastAsia="宋体" w:cs="Times New Roman"/>
                <w:color w:val="auto"/>
                <w:sz w:val="21"/>
                <w:szCs w:val="21"/>
                <w:highlight w:val="none"/>
                <w:vertAlign w:val="baseline"/>
                <w:lang w:val="en-US" w:eastAsia="zh-CN"/>
              </w:rPr>
              <w:t>33%</w:t>
            </w:r>
            <w:bookmarkEnd w:id="52"/>
          </w:p>
        </w:tc>
      </w:tr>
      <w:tr w14:paraId="47D4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restart"/>
            <w:noWrap w:val="0"/>
            <w:vAlign w:val="center"/>
          </w:tcPr>
          <w:p w14:paraId="2583120C">
            <w:pPr>
              <w:jc w:val="center"/>
              <w:outlineLvl w:val="0"/>
              <w:rPr>
                <w:rFonts w:hint="default" w:ascii="Times New Roman" w:hAnsi="Times New Roman" w:eastAsia="宋体" w:cs="Times New Roman"/>
                <w:color w:val="auto"/>
                <w:szCs w:val="21"/>
                <w:highlight w:val="none"/>
              </w:rPr>
            </w:pPr>
            <w:bookmarkStart w:id="53" w:name="_Toc1065"/>
            <w:r>
              <w:rPr>
                <w:rFonts w:hint="default" w:ascii="Times New Roman" w:hAnsi="Times New Roman" w:eastAsia="宋体" w:cs="Times New Roman"/>
                <w:color w:val="auto"/>
                <w:szCs w:val="21"/>
                <w:highlight w:val="none"/>
              </w:rPr>
              <w:t>产业结构</w:t>
            </w:r>
            <w:bookmarkEnd w:id="53"/>
          </w:p>
        </w:tc>
        <w:tc>
          <w:tcPr>
            <w:tcW w:w="3027" w:type="dxa"/>
            <w:noWrap w:val="0"/>
            <w:vAlign w:val="center"/>
          </w:tcPr>
          <w:p w14:paraId="19F81E54">
            <w:pPr>
              <w:jc w:val="center"/>
              <w:outlineLvl w:val="0"/>
              <w:rPr>
                <w:rFonts w:hint="default" w:ascii="Times New Roman" w:hAnsi="Times New Roman" w:eastAsia="宋体" w:cs="Times New Roman"/>
                <w:color w:val="auto"/>
                <w:szCs w:val="21"/>
                <w:highlight w:val="none"/>
              </w:rPr>
            </w:pPr>
            <w:bookmarkStart w:id="54" w:name="_Toc2259"/>
            <w:r>
              <w:rPr>
                <w:rFonts w:hint="eastAsia" w:ascii="Times New Roman" w:hAnsi="Times New Roman" w:cs="Times New Roman"/>
                <w:color w:val="auto"/>
                <w:szCs w:val="21"/>
                <w:highlight w:val="none"/>
                <w:lang w:eastAsia="zh-CN"/>
              </w:rPr>
              <w:t>“</w:t>
            </w:r>
            <w:r>
              <w:rPr>
                <w:rFonts w:hint="default" w:ascii="Times New Roman" w:hAnsi="Times New Roman" w:eastAsia="宋体" w:cs="Times New Roman"/>
                <w:color w:val="auto"/>
                <w:szCs w:val="21"/>
                <w:highlight w:val="none"/>
              </w:rPr>
              <w:t>2+2+X</w:t>
            </w:r>
            <w:r>
              <w:rPr>
                <w:rFonts w:hint="eastAsia" w:ascii="Times New Roman" w:hAnsi="Times New Roman" w:cs="Times New Roman"/>
                <w:color w:val="auto"/>
                <w:szCs w:val="21"/>
                <w:highlight w:val="none"/>
                <w:lang w:eastAsia="zh-CN"/>
              </w:rPr>
              <w:t>”</w:t>
            </w:r>
            <w:r>
              <w:rPr>
                <w:rFonts w:hint="default" w:ascii="Times New Roman" w:hAnsi="Times New Roman" w:eastAsia="宋体" w:cs="Times New Roman"/>
                <w:color w:val="auto"/>
                <w:szCs w:val="21"/>
                <w:highlight w:val="none"/>
              </w:rPr>
              <w:t>产业规上企业产值占比%</w:t>
            </w:r>
            <w:bookmarkEnd w:id="54"/>
          </w:p>
        </w:tc>
        <w:tc>
          <w:tcPr>
            <w:tcW w:w="1347" w:type="dxa"/>
            <w:noWrap w:val="0"/>
            <w:vAlign w:val="center"/>
          </w:tcPr>
          <w:p w14:paraId="231B4CFA">
            <w:pPr>
              <w:jc w:val="center"/>
              <w:outlineLvl w:val="0"/>
              <w:rPr>
                <w:rFonts w:hint="default" w:ascii="Times New Roman" w:hAnsi="Times New Roman" w:eastAsia="宋体" w:cs="Times New Roman"/>
                <w:color w:val="auto"/>
                <w:szCs w:val="21"/>
                <w:highlight w:val="none"/>
              </w:rPr>
            </w:pPr>
            <w:bookmarkStart w:id="55" w:name="_Toc10404"/>
            <w:r>
              <w:rPr>
                <w:rFonts w:hint="default" w:ascii="Times New Roman" w:hAnsi="Times New Roman" w:eastAsia="宋体" w:cs="Times New Roman"/>
                <w:color w:val="auto"/>
                <w:szCs w:val="21"/>
                <w:highlight w:val="none"/>
              </w:rPr>
              <w:t>预期性</w:t>
            </w:r>
            <w:bookmarkEnd w:id="55"/>
          </w:p>
        </w:tc>
        <w:tc>
          <w:tcPr>
            <w:tcW w:w="1717" w:type="dxa"/>
            <w:noWrap w:val="0"/>
            <w:vAlign w:val="center"/>
          </w:tcPr>
          <w:p w14:paraId="183E82E3">
            <w:pPr>
              <w:jc w:val="center"/>
              <w:outlineLvl w:val="0"/>
              <w:rPr>
                <w:rFonts w:hint="default" w:ascii="Times New Roman" w:hAnsi="Times New Roman" w:eastAsia="宋体" w:cs="Times New Roman"/>
                <w:color w:val="auto"/>
                <w:szCs w:val="21"/>
                <w:highlight w:val="none"/>
              </w:rPr>
            </w:pPr>
            <w:bookmarkStart w:id="56" w:name="_Toc6640"/>
            <w:r>
              <w:rPr>
                <w:rFonts w:hint="default" w:ascii="Times New Roman" w:hAnsi="Times New Roman" w:eastAsia="宋体" w:cs="Times New Roman"/>
                <w:color w:val="auto"/>
                <w:szCs w:val="21"/>
                <w:highlight w:val="none"/>
              </w:rPr>
              <w:t>60%</w:t>
            </w:r>
            <w:bookmarkEnd w:id="56"/>
          </w:p>
        </w:tc>
        <w:tc>
          <w:tcPr>
            <w:tcW w:w="1601" w:type="dxa"/>
            <w:noWrap w:val="0"/>
            <w:vAlign w:val="center"/>
          </w:tcPr>
          <w:p w14:paraId="2345C785">
            <w:pPr>
              <w:jc w:val="center"/>
              <w:outlineLvl w:val="0"/>
              <w:rPr>
                <w:rFonts w:hint="default" w:ascii="Times New Roman" w:hAnsi="Times New Roman" w:eastAsia="宋体" w:cs="Times New Roman"/>
                <w:color w:val="auto"/>
                <w:szCs w:val="21"/>
                <w:highlight w:val="none"/>
              </w:rPr>
            </w:pPr>
            <w:bookmarkStart w:id="57" w:name="_Toc1347"/>
            <w:r>
              <w:rPr>
                <w:rFonts w:hint="default" w:ascii="Times New Roman" w:hAnsi="Times New Roman" w:eastAsia="宋体" w:cs="Times New Roman"/>
                <w:color w:val="auto"/>
                <w:szCs w:val="21"/>
                <w:highlight w:val="none"/>
              </w:rPr>
              <w:t>65%</w:t>
            </w:r>
            <w:bookmarkEnd w:id="57"/>
          </w:p>
        </w:tc>
      </w:tr>
      <w:tr w14:paraId="6FC40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7F729387">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14153E46">
            <w:pPr>
              <w:jc w:val="center"/>
              <w:outlineLvl w:val="0"/>
              <w:rPr>
                <w:rFonts w:hint="default" w:ascii="Times New Roman" w:hAnsi="Times New Roman" w:eastAsia="宋体" w:cs="Times New Roman"/>
                <w:color w:val="auto"/>
                <w:szCs w:val="21"/>
                <w:highlight w:val="none"/>
              </w:rPr>
            </w:pPr>
            <w:bookmarkStart w:id="58" w:name="_Toc12629"/>
            <w:r>
              <w:rPr>
                <w:rFonts w:hint="default" w:ascii="Times New Roman" w:hAnsi="Times New Roman" w:eastAsia="宋体" w:cs="Times New Roman"/>
                <w:color w:val="auto"/>
                <w:szCs w:val="21"/>
                <w:highlight w:val="none"/>
              </w:rPr>
              <w:t>汽车零部件及油气海工装备产业规上企业产值（亿元）</w:t>
            </w:r>
            <w:bookmarkEnd w:id="58"/>
          </w:p>
        </w:tc>
        <w:tc>
          <w:tcPr>
            <w:tcW w:w="1347" w:type="dxa"/>
            <w:noWrap w:val="0"/>
            <w:vAlign w:val="center"/>
          </w:tcPr>
          <w:p w14:paraId="03CBC633">
            <w:pPr>
              <w:jc w:val="center"/>
              <w:outlineLvl w:val="0"/>
              <w:rPr>
                <w:rFonts w:hint="default" w:ascii="Times New Roman" w:hAnsi="Times New Roman" w:eastAsia="宋体" w:cs="Times New Roman"/>
                <w:color w:val="auto"/>
                <w:szCs w:val="21"/>
                <w:highlight w:val="none"/>
              </w:rPr>
            </w:pPr>
            <w:bookmarkStart w:id="59" w:name="_Toc8174"/>
            <w:r>
              <w:rPr>
                <w:rFonts w:hint="default" w:ascii="Times New Roman" w:hAnsi="Times New Roman" w:eastAsia="宋体" w:cs="Times New Roman"/>
                <w:color w:val="auto"/>
                <w:szCs w:val="21"/>
                <w:highlight w:val="none"/>
              </w:rPr>
              <w:t>预期性</w:t>
            </w:r>
            <w:bookmarkEnd w:id="59"/>
          </w:p>
        </w:tc>
        <w:tc>
          <w:tcPr>
            <w:tcW w:w="1717" w:type="dxa"/>
            <w:noWrap w:val="0"/>
            <w:vAlign w:val="center"/>
          </w:tcPr>
          <w:p w14:paraId="0740C45B">
            <w:pPr>
              <w:jc w:val="center"/>
              <w:outlineLvl w:val="0"/>
              <w:rPr>
                <w:rFonts w:hint="default" w:ascii="Times New Roman" w:hAnsi="Times New Roman" w:eastAsia="宋体" w:cs="Times New Roman"/>
                <w:color w:val="auto"/>
                <w:szCs w:val="21"/>
                <w:highlight w:val="none"/>
              </w:rPr>
            </w:pPr>
            <w:bookmarkStart w:id="60" w:name="_Toc1250"/>
            <w:r>
              <w:rPr>
                <w:rFonts w:hint="default" w:ascii="Times New Roman" w:hAnsi="Times New Roman" w:eastAsia="宋体" w:cs="Times New Roman"/>
                <w:color w:val="auto"/>
                <w:szCs w:val="21"/>
                <w:highlight w:val="none"/>
              </w:rPr>
              <w:t>170</w:t>
            </w:r>
            <w:bookmarkEnd w:id="60"/>
          </w:p>
        </w:tc>
        <w:tc>
          <w:tcPr>
            <w:tcW w:w="1601" w:type="dxa"/>
            <w:noWrap w:val="0"/>
            <w:vAlign w:val="center"/>
          </w:tcPr>
          <w:p w14:paraId="32733799">
            <w:pPr>
              <w:jc w:val="center"/>
              <w:outlineLvl w:val="0"/>
              <w:rPr>
                <w:rFonts w:hint="default" w:ascii="Times New Roman" w:hAnsi="Times New Roman" w:eastAsia="宋体" w:cs="Times New Roman"/>
                <w:color w:val="auto"/>
                <w:szCs w:val="21"/>
                <w:highlight w:val="none"/>
              </w:rPr>
            </w:pPr>
            <w:bookmarkStart w:id="61" w:name="_Toc26685"/>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0</w:t>
            </w:r>
            <w:bookmarkEnd w:id="61"/>
          </w:p>
        </w:tc>
      </w:tr>
      <w:tr w14:paraId="23F0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3A0DD92D">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29281291">
            <w:pPr>
              <w:jc w:val="center"/>
              <w:outlineLvl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新能源（亿元）</w:t>
            </w:r>
          </w:p>
        </w:tc>
        <w:tc>
          <w:tcPr>
            <w:tcW w:w="1347" w:type="dxa"/>
            <w:noWrap w:val="0"/>
            <w:vAlign w:val="center"/>
          </w:tcPr>
          <w:p w14:paraId="3D38D664">
            <w:pPr>
              <w:jc w:val="center"/>
              <w:outlineLvl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预期性</w:t>
            </w:r>
          </w:p>
        </w:tc>
        <w:tc>
          <w:tcPr>
            <w:tcW w:w="1717" w:type="dxa"/>
            <w:noWrap w:val="0"/>
            <w:vAlign w:val="center"/>
          </w:tcPr>
          <w:p w14:paraId="4642347D">
            <w:pPr>
              <w:jc w:val="center"/>
              <w:outlineLvl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210</w:t>
            </w:r>
          </w:p>
        </w:tc>
        <w:tc>
          <w:tcPr>
            <w:tcW w:w="1601" w:type="dxa"/>
            <w:noWrap w:val="0"/>
            <w:vAlign w:val="center"/>
          </w:tcPr>
          <w:p w14:paraId="142665CA">
            <w:pPr>
              <w:jc w:val="center"/>
              <w:outlineLvl w:val="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300</w:t>
            </w:r>
          </w:p>
        </w:tc>
      </w:tr>
      <w:tr w14:paraId="654EA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7001BB6C">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3B53082A">
            <w:pPr>
              <w:jc w:val="center"/>
              <w:outlineLvl w:val="0"/>
              <w:rPr>
                <w:rFonts w:hint="default" w:ascii="Times New Roman" w:hAnsi="Times New Roman" w:eastAsia="宋体" w:cs="Times New Roman"/>
                <w:color w:val="auto"/>
                <w:szCs w:val="21"/>
                <w:highlight w:val="none"/>
              </w:rPr>
            </w:pPr>
            <w:bookmarkStart w:id="62" w:name="_Toc23101"/>
            <w:r>
              <w:rPr>
                <w:rFonts w:hint="default" w:ascii="Times New Roman" w:hAnsi="Times New Roman" w:eastAsia="宋体" w:cs="Times New Roman"/>
                <w:color w:val="auto"/>
                <w:szCs w:val="21"/>
                <w:highlight w:val="none"/>
              </w:rPr>
              <w:t>医药</w:t>
            </w:r>
            <w:r>
              <w:rPr>
                <w:rFonts w:hint="default" w:ascii="Times New Roman" w:hAnsi="Times New Roman" w:eastAsia="宋体" w:cs="Times New Roman"/>
                <w:color w:val="auto"/>
                <w:szCs w:val="21"/>
                <w:highlight w:val="none"/>
                <w:lang w:val="en-US" w:eastAsia="zh-CN"/>
              </w:rPr>
              <w:t>健康</w:t>
            </w:r>
            <w:r>
              <w:rPr>
                <w:rFonts w:hint="default" w:ascii="Times New Roman" w:hAnsi="Times New Roman" w:eastAsia="宋体" w:cs="Times New Roman"/>
                <w:color w:val="auto"/>
                <w:szCs w:val="21"/>
                <w:highlight w:val="none"/>
              </w:rPr>
              <w:t>（亿元）</w:t>
            </w:r>
            <w:bookmarkEnd w:id="62"/>
          </w:p>
        </w:tc>
        <w:tc>
          <w:tcPr>
            <w:tcW w:w="1347" w:type="dxa"/>
            <w:noWrap w:val="0"/>
            <w:vAlign w:val="center"/>
          </w:tcPr>
          <w:p w14:paraId="422BC65F">
            <w:pPr>
              <w:jc w:val="center"/>
              <w:outlineLvl w:val="0"/>
              <w:rPr>
                <w:rFonts w:hint="default" w:ascii="Times New Roman" w:hAnsi="Times New Roman" w:eastAsia="宋体" w:cs="Times New Roman"/>
                <w:color w:val="auto"/>
                <w:szCs w:val="21"/>
                <w:highlight w:val="none"/>
              </w:rPr>
            </w:pPr>
            <w:bookmarkStart w:id="63" w:name="_Toc30712"/>
            <w:r>
              <w:rPr>
                <w:rFonts w:hint="default" w:ascii="Times New Roman" w:hAnsi="Times New Roman" w:eastAsia="宋体" w:cs="Times New Roman"/>
                <w:color w:val="auto"/>
                <w:szCs w:val="21"/>
                <w:highlight w:val="none"/>
              </w:rPr>
              <w:t>预期性</w:t>
            </w:r>
            <w:bookmarkEnd w:id="63"/>
          </w:p>
        </w:tc>
        <w:tc>
          <w:tcPr>
            <w:tcW w:w="1717" w:type="dxa"/>
            <w:noWrap w:val="0"/>
            <w:vAlign w:val="center"/>
          </w:tcPr>
          <w:p w14:paraId="1190C5A6">
            <w:pPr>
              <w:jc w:val="center"/>
              <w:outlineLvl w:val="0"/>
              <w:rPr>
                <w:rFonts w:hint="default" w:ascii="Times New Roman" w:hAnsi="Times New Roman" w:eastAsia="宋体" w:cs="Times New Roman"/>
                <w:color w:val="auto"/>
                <w:szCs w:val="21"/>
                <w:highlight w:val="none"/>
              </w:rPr>
            </w:pPr>
            <w:bookmarkStart w:id="64" w:name="_Toc11201"/>
            <w:r>
              <w:rPr>
                <w:rFonts w:hint="default" w:ascii="Times New Roman" w:hAnsi="Times New Roman" w:eastAsia="宋体" w:cs="Times New Roman"/>
                <w:color w:val="auto"/>
                <w:szCs w:val="21"/>
                <w:highlight w:val="none"/>
              </w:rPr>
              <w:t>50</w:t>
            </w:r>
            <w:bookmarkEnd w:id="64"/>
          </w:p>
        </w:tc>
        <w:tc>
          <w:tcPr>
            <w:tcW w:w="1601" w:type="dxa"/>
            <w:noWrap w:val="0"/>
            <w:vAlign w:val="center"/>
          </w:tcPr>
          <w:p w14:paraId="5730E01F">
            <w:pPr>
              <w:jc w:val="center"/>
              <w:outlineLvl w:val="0"/>
              <w:rPr>
                <w:rFonts w:hint="default" w:ascii="Times New Roman" w:hAnsi="Times New Roman" w:eastAsia="宋体" w:cs="Times New Roman"/>
                <w:color w:val="auto"/>
                <w:szCs w:val="21"/>
                <w:highlight w:val="none"/>
                <w:lang w:val="en-US" w:eastAsia="zh-CN"/>
              </w:rPr>
            </w:pPr>
            <w:bookmarkStart w:id="65" w:name="_Toc28901"/>
            <w:r>
              <w:rPr>
                <w:rFonts w:hint="default" w:ascii="Times New Roman" w:hAnsi="Times New Roman" w:eastAsia="宋体" w:cs="Times New Roman"/>
                <w:color w:val="auto"/>
                <w:szCs w:val="21"/>
                <w:highlight w:val="none"/>
                <w:lang w:val="en-US" w:eastAsia="zh-CN"/>
              </w:rPr>
              <w:t>100</w:t>
            </w:r>
            <w:bookmarkEnd w:id="65"/>
          </w:p>
        </w:tc>
      </w:tr>
      <w:tr w14:paraId="0288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6DB5F435">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101354CC">
            <w:pPr>
              <w:jc w:val="center"/>
              <w:outlineLvl w:val="0"/>
              <w:rPr>
                <w:rFonts w:hint="default" w:ascii="Times New Roman" w:hAnsi="Times New Roman" w:eastAsia="宋体" w:cs="Times New Roman"/>
                <w:color w:val="auto"/>
                <w:szCs w:val="21"/>
                <w:highlight w:val="none"/>
              </w:rPr>
            </w:pPr>
            <w:bookmarkStart w:id="66" w:name="_Toc27350"/>
            <w:r>
              <w:rPr>
                <w:rFonts w:hint="default" w:ascii="Times New Roman" w:hAnsi="Times New Roman" w:eastAsia="宋体" w:cs="Times New Roman"/>
                <w:color w:val="auto"/>
                <w:szCs w:val="21"/>
                <w:highlight w:val="none"/>
                <w:lang w:val="en-US" w:eastAsia="zh-CN"/>
              </w:rPr>
              <w:t>新一代</w:t>
            </w:r>
            <w:r>
              <w:rPr>
                <w:rFonts w:hint="default" w:ascii="Times New Roman" w:hAnsi="Times New Roman" w:eastAsia="宋体" w:cs="Times New Roman"/>
                <w:color w:val="auto"/>
                <w:szCs w:val="21"/>
                <w:highlight w:val="none"/>
              </w:rPr>
              <w:t>信息</w:t>
            </w:r>
            <w:r>
              <w:rPr>
                <w:rFonts w:hint="default" w:ascii="Times New Roman" w:hAnsi="Times New Roman" w:eastAsia="宋体" w:cs="Times New Roman"/>
                <w:color w:val="auto"/>
                <w:szCs w:val="21"/>
                <w:highlight w:val="none"/>
                <w:lang w:val="en-US" w:eastAsia="zh-CN"/>
              </w:rPr>
              <w:t>技术</w:t>
            </w:r>
            <w:r>
              <w:rPr>
                <w:rFonts w:hint="default" w:ascii="Times New Roman" w:hAnsi="Times New Roman" w:eastAsia="宋体" w:cs="Times New Roman"/>
                <w:color w:val="auto"/>
                <w:szCs w:val="21"/>
                <w:highlight w:val="none"/>
              </w:rPr>
              <w:t>（亿元）</w:t>
            </w:r>
            <w:bookmarkEnd w:id="66"/>
          </w:p>
        </w:tc>
        <w:tc>
          <w:tcPr>
            <w:tcW w:w="1347" w:type="dxa"/>
            <w:noWrap w:val="0"/>
            <w:vAlign w:val="center"/>
          </w:tcPr>
          <w:p w14:paraId="7B267923">
            <w:pPr>
              <w:jc w:val="center"/>
              <w:outlineLvl w:val="0"/>
              <w:rPr>
                <w:rFonts w:hint="default" w:ascii="Times New Roman" w:hAnsi="Times New Roman" w:eastAsia="宋体" w:cs="Times New Roman"/>
                <w:color w:val="auto"/>
                <w:szCs w:val="21"/>
                <w:highlight w:val="none"/>
              </w:rPr>
            </w:pPr>
            <w:bookmarkStart w:id="67" w:name="_Toc18370"/>
            <w:r>
              <w:rPr>
                <w:rFonts w:hint="default" w:ascii="Times New Roman" w:hAnsi="Times New Roman" w:eastAsia="宋体" w:cs="Times New Roman"/>
                <w:color w:val="auto"/>
                <w:szCs w:val="21"/>
                <w:highlight w:val="none"/>
              </w:rPr>
              <w:t>预期性</w:t>
            </w:r>
            <w:bookmarkEnd w:id="67"/>
          </w:p>
        </w:tc>
        <w:tc>
          <w:tcPr>
            <w:tcW w:w="1717" w:type="dxa"/>
            <w:noWrap w:val="0"/>
            <w:vAlign w:val="center"/>
          </w:tcPr>
          <w:p w14:paraId="196EC1FF">
            <w:pPr>
              <w:jc w:val="center"/>
              <w:outlineLvl w:val="0"/>
              <w:rPr>
                <w:rFonts w:hint="default" w:ascii="Times New Roman" w:hAnsi="Times New Roman" w:eastAsia="宋体" w:cs="Times New Roman"/>
                <w:color w:val="auto"/>
                <w:szCs w:val="21"/>
                <w:highlight w:val="none"/>
              </w:rPr>
            </w:pPr>
            <w:bookmarkStart w:id="68" w:name="_Toc4647"/>
            <w:r>
              <w:rPr>
                <w:rFonts w:hint="default" w:ascii="Times New Roman" w:hAnsi="Times New Roman" w:eastAsia="宋体" w:cs="Times New Roman"/>
                <w:color w:val="auto"/>
                <w:szCs w:val="21"/>
                <w:highlight w:val="none"/>
              </w:rPr>
              <w:t>95</w:t>
            </w:r>
            <w:bookmarkEnd w:id="68"/>
          </w:p>
        </w:tc>
        <w:tc>
          <w:tcPr>
            <w:tcW w:w="1601" w:type="dxa"/>
            <w:noWrap w:val="0"/>
            <w:vAlign w:val="center"/>
          </w:tcPr>
          <w:p w14:paraId="21D8F1D4">
            <w:pPr>
              <w:jc w:val="center"/>
              <w:outlineLvl w:val="0"/>
              <w:rPr>
                <w:rFonts w:hint="default" w:ascii="Times New Roman" w:hAnsi="Times New Roman" w:eastAsia="宋体" w:cs="Times New Roman"/>
                <w:color w:val="auto"/>
                <w:szCs w:val="21"/>
                <w:highlight w:val="none"/>
                <w:lang w:val="en-US" w:eastAsia="zh-CN"/>
              </w:rPr>
            </w:pPr>
            <w:bookmarkStart w:id="69" w:name="_Toc11500"/>
            <w:r>
              <w:rPr>
                <w:rFonts w:hint="default" w:ascii="Times New Roman" w:hAnsi="Times New Roman" w:eastAsia="宋体" w:cs="Times New Roman"/>
                <w:color w:val="auto"/>
                <w:szCs w:val="21"/>
                <w:highlight w:val="none"/>
                <w:lang w:val="en-US" w:eastAsia="zh-CN"/>
              </w:rPr>
              <w:t>150</w:t>
            </w:r>
            <w:bookmarkEnd w:id="69"/>
          </w:p>
        </w:tc>
      </w:tr>
      <w:tr w14:paraId="4FC3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5374BA48">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10E1B2DF">
            <w:pPr>
              <w:jc w:val="center"/>
              <w:outlineLvl w:val="0"/>
              <w:rPr>
                <w:rFonts w:hint="default" w:ascii="Times New Roman" w:hAnsi="Times New Roman" w:eastAsia="宋体" w:cs="Times New Roman"/>
                <w:color w:val="auto"/>
                <w:szCs w:val="21"/>
                <w:highlight w:val="none"/>
              </w:rPr>
            </w:pPr>
            <w:bookmarkStart w:id="70" w:name="_Toc22123"/>
            <w:r>
              <w:rPr>
                <w:rFonts w:hint="default" w:ascii="Times New Roman" w:hAnsi="Times New Roman" w:eastAsia="宋体" w:cs="Times New Roman"/>
                <w:color w:val="auto"/>
                <w:szCs w:val="21"/>
                <w:highlight w:val="none"/>
                <w:lang w:val="en-US" w:eastAsia="zh-CN"/>
              </w:rPr>
              <w:t>机器人</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Cs w:val="21"/>
                <w:highlight w:val="none"/>
                <w:lang w:val="en-US" w:eastAsia="zh-CN"/>
              </w:rPr>
              <w:t>商业航天器、</w:t>
            </w:r>
            <w:r>
              <w:rPr>
                <w:rFonts w:hint="default" w:ascii="Times New Roman" w:hAnsi="Times New Roman" w:eastAsia="宋体" w:cs="Times New Roman"/>
                <w:color w:val="auto"/>
                <w:szCs w:val="21"/>
                <w:highlight w:val="none"/>
              </w:rPr>
              <w:t>低空</w:t>
            </w:r>
            <w:r>
              <w:rPr>
                <w:rFonts w:hint="default" w:ascii="Times New Roman" w:hAnsi="Times New Roman" w:eastAsia="宋体" w:cs="Times New Roman"/>
                <w:color w:val="auto"/>
                <w:szCs w:val="21"/>
                <w:highlight w:val="none"/>
                <w:lang w:val="en-US" w:eastAsia="zh-CN"/>
              </w:rPr>
              <w:t>制造</w:t>
            </w:r>
            <w:r>
              <w:rPr>
                <w:rFonts w:hint="default" w:ascii="Times New Roman" w:hAnsi="Times New Roman" w:eastAsia="宋体" w:cs="Times New Roman"/>
                <w:color w:val="auto"/>
                <w:szCs w:val="21"/>
                <w:highlight w:val="none"/>
              </w:rPr>
              <w:t>（亿元）</w:t>
            </w:r>
            <w:bookmarkEnd w:id="70"/>
          </w:p>
        </w:tc>
        <w:tc>
          <w:tcPr>
            <w:tcW w:w="1347" w:type="dxa"/>
            <w:noWrap w:val="0"/>
            <w:vAlign w:val="center"/>
          </w:tcPr>
          <w:p w14:paraId="7BDD61B3">
            <w:pPr>
              <w:jc w:val="center"/>
              <w:outlineLvl w:val="0"/>
              <w:rPr>
                <w:rFonts w:hint="default" w:ascii="Times New Roman" w:hAnsi="Times New Roman" w:eastAsia="宋体" w:cs="Times New Roman"/>
                <w:color w:val="auto"/>
                <w:szCs w:val="21"/>
                <w:highlight w:val="none"/>
              </w:rPr>
            </w:pPr>
            <w:bookmarkStart w:id="71" w:name="_Toc30069"/>
            <w:r>
              <w:rPr>
                <w:rFonts w:hint="default" w:ascii="Times New Roman" w:hAnsi="Times New Roman" w:eastAsia="宋体" w:cs="Times New Roman"/>
                <w:color w:val="auto"/>
                <w:szCs w:val="21"/>
                <w:highlight w:val="none"/>
              </w:rPr>
              <w:t>预期性</w:t>
            </w:r>
            <w:bookmarkEnd w:id="71"/>
          </w:p>
        </w:tc>
        <w:tc>
          <w:tcPr>
            <w:tcW w:w="1717" w:type="dxa"/>
            <w:noWrap w:val="0"/>
            <w:vAlign w:val="center"/>
          </w:tcPr>
          <w:p w14:paraId="5553DDBD">
            <w:pPr>
              <w:jc w:val="center"/>
              <w:outlineLvl w:val="0"/>
              <w:rPr>
                <w:rFonts w:hint="default" w:ascii="Times New Roman" w:hAnsi="Times New Roman" w:eastAsia="宋体" w:cs="Times New Roman"/>
                <w:color w:val="auto"/>
                <w:szCs w:val="21"/>
                <w:highlight w:val="none"/>
              </w:rPr>
            </w:pPr>
            <w:bookmarkStart w:id="72" w:name="_Toc27377"/>
            <w:r>
              <w:rPr>
                <w:rFonts w:hint="default" w:ascii="Times New Roman" w:hAnsi="Times New Roman" w:eastAsia="宋体" w:cs="Times New Roman"/>
                <w:color w:val="auto"/>
                <w:szCs w:val="21"/>
                <w:highlight w:val="none"/>
              </w:rPr>
              <w:t>3</w:t>
            </w:r>
            <w:bookmarkEnd w:id="72"/>
          </w:p>
        </w:tc>
        <w:tc>
          <w:tcPr>
            <w:tcW w:w="1601" w:type="dxa"/>
            <w:noWrap w:val="0"/>
            <w:vAlign w:val="center"/>
          </w:tcPr>
          <w:p w14:paraId="50537B60">
            <w:pPr>
              <w:jc w:val="center"/>
              <w:outlineLvl w:val="0"/>
              <w:rPr>
                <w:rFonts w:hint="default" w:ascii="Times New Roman" w:hAnsi="Times New Roman" w:eastAsia="宋体" w:cs="Times New Roman"/>
                <w:color w:val="auto"/>
                <w:szCs w:val="21"/>
                <w:highlight w:val="none"/>
                <w:lang w:val="en-US" w:eastAsia="zh-CN"/>
              </w:rPr>
            </w:pPr>
            <w:bookmarkStart w:id="73" w:name="_Toc25377"/>
            <w:r>
              <w:rPr>
                <w:rFonts w:hint="default" w:ascii="Times New Roman" w:hAnsi="Times New Roman" w:eastAsia="宋体" w:cs="Times New Roman"/>
                <w:color w:val="auto"/>
                <w:szCs w:val="21"/>
                <w:highlight w:val="none"/>
                <w:lang w:val="en-US" w:eastAsia="zh-CN"/>
              </w:rPr>
              <w:t>100</w:t>
            </w:r>
            <w:bookmarkEnd w:id="73"/>
          </w:p>
        </w:tc>
      </w:tr>
      <w:tr w14:paraId="6F8B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37106285">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5D3C7A9E">
            <w:pPr>
              <w:jc w:val="center"/>
              <w:outlineLvl w:val="0"/>
              <w:rPr>
                <w:rFonts w:hint="default" w:ascii="Times New Roman" w:hAnsi="Times New Roman" w:eastAsia="宋体" w:cs="Times New Roman"/>
                <w:color w:val="auto"/>
                <w:szCs w:val="21"/>
                <w:highlight w:val="none"/>
              </w:rPr>
            </w:pPr>
            <w:bookmarkStart w:id="74" w:name="_Toc16214"/>
            <w:r>
              <w:rPr>
                <w:rFonts w:hint="default" w:ascii="Times New Roman" w:hAnsi="Times New Roman" w:eastAsia="宋体" w:cs="Times New Roman"/>
                <w:color w:val="auto"/>
                <w:szCs w:val="21"/>
                <w:highlight w:val="none"/>
              </w:rPr>
              <w:t>省特色产业集群（累计）</w:t>
            </w:r>
            <w:bookmarkEnd w:id="74"/>
          </w:p>
        </w:tc>
        <w:tc>
          <w:tcPr>
            <w:tcW w:w="1347" w:type="dxa"/>
            <w:noWrap w:val="0"/>
            <w:vAlign w:val="center"/>
          </w:tcPr>
          <w:p w14:paraId="735BA398">
            <w:pPr>
              <w:jc w:val="center"/>
              <w:outlineLvl w:val="0"/>
              <w:rPr>
                <w:rFonts w:hint="default" w:ascii="Times New Roman" w:hAnsi="Times New Roman" w:eastAsia="宋体" w:cs="Times New Roman"/>
                <w:color w:val="auto"/>
                <w:szCs w:val="21"/>
                <w:highlight w:val="none"/>
              </w:rPr>
            </w:pPr>
            <w:bookmarkStart w:id="75" w:name="_Toc12377"/>
            <w:r>
              <w:rPr>
                <w:rFonts w:hint="default" w:ascii="Times New Roman" w:hAnsi="Times New Roman" w:eastAsia="宋体" w:cs="Times New Roman"/>
                <w:color w:val="auto"/>
                <w:szCs w:val="21"/>
                <w:highlight w:val="none"/>
              </w:rPr>
              <w:t>预期性</w:t>
            </w:r>
            <w:bookmarkEnd w:id="75"/>
          </w:p>
        </w:tc>
        <w:tc>
          <w:tcPr>
            <w:tcW w:w="1717" w:type="dxa"/>
            <w:noWrap w:val="0"/>
            <w:vAlign w:val="center"/>
          </w:tcPr>
          <w:p w14:paraId="4AC33EBA">
            <w:pPr>
              <w:jc w:val="center"/>
              <w:outlineLvl w:val="0"/>
              <w:rPr>
                <w:rFonts w:hint="default" w:ascii="Times New Roman" w:hAnsi="Times New Roman" w:eastAsia="宋体" w:cs="Times New Roman"/>
                <w:color w:val="auto"/>
                <w:szCs w:val="21"/>
                <w:highlight w:val="none"/>
                <w:lang w:eastAsia="zh-CN"/>
              </w:rPr>
            </w:pPr>
            <w:bookmarkStart w:id="76" w:name="_Toc4248"/>
            <w:r>
              <w:rPr>
                <w:rFonts w:hint="default" w:ascii="Times New Roman" w:hAnsi="Times New Roman" w:eastAsia="宋体" w:cs="Times New Roman"/>
                <w:color w:val="auto"/>
                <w:szCs w:val="21"/>
                <w:highlight w:val="none"/>
                <w:lang w:val="en-US" w:eastAsia="zh-CN"/>
              </w:rPr>
              <w:t>累计</w:t>
            </w:r>
            <w:r>
              <w:rPr>
                <w:rFonts w:hint="default" w:ascii="Times New Roman" w:hAnsi="Times New Roman" w:eastAsia="宋体" w:cs="Times New Roman"/>
                <w:color w:val="auto"/>
                <w:szCs w:val="21"/>
                <w:highlight w:val="none"/>
              </w:rPr>
              <w:t>2</w:t>
            </w:r>
            <w:bookmarkEnd w:id="76"/>
            <w:r>
              <w:rPr>
                <w:rFonts w:hint="default" w:ascii="Times New Roman" w:hAnsi="Times New Roman" w:cs="Times New Roman"/>
                <w:color w:val="auto"/>
                <w:szCs w:val="21"/>
                <w:highlight w:val="none"/>
                <w:lang w:eastAsia="zh-CN"/>
              </w:rPr>
              <w:t>个</w:t>
            </w:r>
          </w:p>
        </w:tc>
        <w:tc>
          <w:tcPr>
            <w:tcW w:w="1601" w:type="dxa"/>
            <w:noWrap w:val="0"/>
            <w:vAlign w:val="center"/>
          </w:tcPr>
          <w:p w14:paraId="4FCBF229">
            <w:pPr>
              <w:jc w:val="center"/>
              <w:outlineLvl w:val="0"/>
              <w:rPr>
                <w:rFonts w:hint="default" w:ascii="Times New Roman" w:hAnsi="Times New Roman" w:eastAsia="宋体" w:cs="Times New Roman"/>
                <w:color w:val="auto"/>
                <w:szCs w:val="21"/>
                <w:highlight w:val="none"/>
              </w:rPr>
            </w:pPr>
            <w:bookmarkStart w:id="77" w:name="_Toc18809"/>
            <w:r>
              <w:rPr>
                <w:rFonts w:hint="default" w:ascii="Times New Roman" w:hAnsi="Times New Roman" w:eastAsia="宋体" w:cs="Times New Roman"/>
                <w:color w:val="auto"/>
                <w:szCs w:val="21"/>
                <w:highlight w:val="none"/>
              </w:rPr>
              <w:t>新增2个</w:t>
            </w:r>
            <w:bookmarkEnd w:id="77"/>
          </w:p>
        </w:tc>
      </w:tr>
      <w:tr w14:paraId="0888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restart"/>
            <w:noWrap w:val="0"/>
            <w:vAlign w:val="center"/>
          </w:tcPr>
          <w:p w14:paraId="1889F1F4">
            <w:pPr>
              <w:jc w:val="center"/>
              <w:outlineLvl w:val="0"/>
              <w:rPr>
                <w:rFonts w:hint="default" w:ascii="Times New Roman" w:hAnsi="Times New Roman" w:eastAsia="宋体" w:cs="Times New Roman"/>
                <w:color w:val="auto"/>
                <w:szCs w:val="21"/>
                <w:highlight w:val="none"/>
              </w:rPr>
            </w:pPr>
            <w:bookmarkStart w:id="78" w:name="_Toc30635"/>
            <w:r>
              <w:rPr>
                <w:rFonts w:hint="default" w:ascii="Times New Roman" w:hAnsi="Times New Roman" w:eastAsia="宋体" w:cs="Times New Roman"/>
                <w:color w:val="auto"/>
                <w:szCs w:val="21"/>
                <w:highlight w:val="none"/>
                <w:lang w:val="en-US" w:eastAsia="zh-CN"/>
              </w:rPr>
              <w:t>高端化</w:t>
            </w:r>
            <w:r>
              <w:rPr>
                <w:rFonts w:hint="default" w:ascii="Times New Roman" w:hAnsi="Times New Roman" w:eastAsia="宋体" w:cs="Times New Roman"/>
                <w:color w:val="auto"/>
                <w:szCs w:val="21"/>
                <w:highlight w:val="none"/>
              </w:rPr>
              <w:t>发展</w:t>
            </w:r>
            <w:bookmarkEnd w:id="78"/>
          </w:p>
        </w:tc>
        <w:tc>
          <w:tcPr>
            <w:tcW w:w="3027" w:type="dxa"/>
            <w:noWrap w:val="0"/>
            <w:vAlign w:val="center"/>
          </w:tcPr>
          <w:p w14:paraId="5D4A65BE">
            <w:pPr>
              <w:jc w:val="center"/>
              <w:outlineLvl w:val="0"/>
              <w:rPr>
                <w:rFonts w:hint="default" w:ascii="Times New Roman" w:hAnsi="Times New Roman" w:eastAsia="宋体" w:cs="Times New Roman"/>
                <w:color w:val="auto"/>
                <w:szCs w:val="21"/>
                <w:highlight w:val="none"/>
              </w:rPr>
            </w:pPr>
            <w:bookmarkStart w:id="79" w:name="_Toc29058"/>
            <w:r>
              <w:rPr>
                <w:rFonts w:hint="default" w:ascii="Times New Roman" w:hAnsi="Times New Roman" w:eastAsia="宋体" w:cs="Times New Roman"/>
                <w:color w:val="auto"/>
                <w:szCs w:val="21"/>
                <w:highlight w:val="none"/>
              </w:rPr>
              <w:t>研发费用占比%</w:t>
            </w:r>
            <w:bookmarkEnd w:id="79"/>
          </w:p>
        </w:tc>
        <w:tc>
          <w:tcPr>
            <w:tcW w:w="1347" w:type="dxa"/>
            <w:noWrap w:val="0"/>
            <w:vAlign w:val="center"/>
          </w:tcPr>
          <w:p w14:paraId="2AD3FB86">
            <w:pPr>
              <w:jc w:val="center"/>
              <w:outlineLvl w:val="0"/>
              <w:rPr>
                <w:rFonts w:hint="default" w:ascii="Times New Roman" w:hAnsi="Times New Roman" w:eastAsia="宋体" w:cs="Times New Roman"/>
                <w:color w:val="auto"/>
                <w:szCs w:val="21"/>
                <w:highlight w:val="none"/>
              </w:rPr>
            </w:pPr>
            <w:bookmarkStart w:id="80" w:name="_Toc2538"/>
            <w:r>
              <w:rPr>
                <w:rFonts w:hint="default" w:ascii="Times New Roman" w:hAnsi="Times New Roman" w:eastAsia="宋体" w:cs="Times New Roman"/>
                <w:color w:val="auto"/>
                <w:szCs w:val="21"/>
                <w:highlight w:val="none"/>
              </w:rPr>
              <w:t>预期性</w:t>
            </w:r>
            <w:bookmarkEnd w:id="80"/>
          </w:p>
        </w:tc>
        <w:tc>
          <w:tcPr>
            <w:tcW w:w="1717" w:type="dxa"/>
            <w:noWrap w:val="0"/>
            <w:vAlign w:val="center"/>
          </w:tcPr>
          <w:p w14:paraId="778C3F65">
            <w:pPr>
              <w:jc w:val="center"/>
              <w:outlineLvl w:val="0"/>
              <w:rPr>
                <w:rFonts w:hint="default" w:ascii="Times New Roman" w:hAnsi="Times New Roman" w:eastAsia="宋体" w:cs="Times New Roman"/>
                <w:color w:val="auto"/>
                <w:szCs w:val="21"/>
                <w:highlight w:val="none"/>
              </w:rPr>
            </w:pPr>
            <w:bookmarkStart w:id="81" w:name="_Toc13653"/>
            <w:r>
              <w:rPr>
                <w:rFonts w:hint="default" w:ascii="Times New Roman" w:hAnsi="Times New Roman" w:eastAsia="宋体" w:cs="Times New Roman"/>
                <w:color w:val="auto"/>
                <w:szCs w:val="21"/>
                <w:highlight w:val="none"/>
              </w:rPr>
              <w:t>3%</w:t>
            </w:r>
            <w:bookmarkEnd w:id="81"/>
          </w:p>
        </w:tc>
        <w:tc>
          <w:tcPr>
            <w:tcW w:w="1601" w:type="dxa"/>
            <w:noWrap w:val="0"/>
            <w:vAlign w:val="center"/>
          </w:tcPr>
          <w:p w14:paraId="259086B6">
            <w:pPr>
              <w:jc w:val="center"/>
              <w:outlineLvl w:val="0"/>
              <w:rPr>
                <w:rFonts w:hint="default" w:ascii="Times New Roman" w:hAnsi="Times New Roman" w:eastAsia="宋体" w:cs="Times New Roman"/>
                <w:color w:val="auto"/>
                <w:szCs w:val="21"/>
                <w:highlight w:val="none"/>
              </w:rPr>
            </w:pPr>
            <w:bookmarkStart w:id="82" w:name="_Toc474"/>
            <w:r>
              <w:rPr>
                <w:rFonts w:hint="default" w:ascii="Times New Roman" w:hAnsi="Times New Roman" w:eastAsia="宋体" w:cs="Times New Roman"/>
                <w:color w:val="auto"/>
                <w:szCs w:val="21"/>
                <w:highlight w:val="none"/>
              </w:rPr>
              <w:t>3.8%</w:t>
            </w:r>
            <w:bookmarkEnd w:id="82"/>
          </w:p>
        </w:tc>
      </w:tr>
      <w:tr w14:paraId="6244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115FDB6A">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008999F9">
            <w:pPr>
              <w:jc w:val="center"/>
              <w:outlineLvl w:val="0"/>
              <w:rPr>
                <w:rFonts w:hint="default" w:ascii="Times New Roman" w:hAnsi="Times New Roman" w:eastAsia="宋体" w:cs="Times New Roman"/>
                <w:color w:val="auto"/>
                <w:szCs w:val="21"/>
                <w:highlight w:val="none"/>
              </w:rPr>
            </w:pPr>
            <w:bookmarkStart w:id="83" w:name="_Toc27115"/>
            <w:r>
              <w:rPr>
                <w:rFonts w:hint="default" w:ascii="Times New Roman" w:hAnsi="Times New Roman" w:eastAsia="宋体" w:cs="Times New Roman"/>
                <w:color w:val="auto"/>
                <w:szCs w:val="21"/>
                <w:highlight w:val="none"/>
              </w:rPr>
              <w:t>新增省级</w:t>
            </w:r>
            <w:r>
              <w:rPr>
                <w:rFonts w:hint="default" w:ascii="Times New Roman" w:hAnsi="Times New Roman" w:eastAsia="宋体" w:cs="Times New Roman"/>
                <w:color w:val="auto"/>
                <w:szCs w:val="21"/>
                <w:highlight w:val="none"/>
                <w:lang w:eastAsia="zh-CN"/>
              </w:rPr>
              <w:t>以上</w:t>
            </w:r>
            <w:r>
              <w:rPr>
                <w:rFonts w:hint="default" w:ascii="Times New Roman" w:hAnsi="Times New Roman" w:eastAsia="宋体" w:cs="Times New Roman"/>
                <w:color w:val="auto"/>
                <w:szCs w:val="21"/>
                <w:highlight w:val="none"/>
              </w:rPr>
              <w:t>企业技术中心（家）</w:t>
            </w:r>
            <w:bookmarkEnd w:id="83"/>
          </w:p>
        </w:tc>
        <w:tc>
          <w:tcPr>
            <w:tcW w:w="1347" w:type="dxa"/>
            <w:noWrap w:val="0"/>
            <w:vAlign w:val="center"/>
          </w:tcPr>
          <w:p w14:paraId="023DCB7B">
            <w:pPr>
              <w:jc w:val="center"/>
              <w:outlineLvl w:val="0"/>
              <w:rPr>
                <w:rFonts w:hint="default" w:ascii="Times New Roman" w:hAnsi="Times New Roman" w:eastAsia="宋体" w:cs="Times New Roman"/>
                <w:color w:val="auto"/>
                <w:szCs w:val="21"/>
                <w:highlight w:val="none"/>
              </w:rPr>
            </w:pPr>
            <w:bookmarkStart w:id="84" w:name="_Toc23306"/>
            <w:r>
              <w:rPr>
                <w:rFonts w:hint="default" w:ascii="Times New Roman" w:hAnsi="Times New Roman" w:eastAsia="宋体" w:cs="Times New Roman"/>
                <w:color w:val="auto"/>
                <w:szCs w:val="21"/>
                <w:highlight w:val="none"/>
              </w:rPr>
              <w:t>预期性</w:t>
            </w:r>
            <w:bookmarkEnd w:id="84"/>
          </w:p>
        </w:tc>
        <w:tc>
          <w:tcPr>
            <w:tcW w:w="1717" w:type="dxa"/>
            <w:noWrap w:val="0"/>
            <w:vAlign w:val="center"/>
          </w:tcPr>
          <w:p w14:paraId="140F832A">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累计66家</w:t>
            </w:r>
          </w:p>
        </w:tc>
        <w:tc>
          <w:tcPr>
            <w:tcW w:w="1601" w:type="dxa"/>
            <w:noWrap w:val="0"/>
            <w:vAlign w:val="center"/>
          </w:tcPr>
          <w:p w14:paraId="2C2DFF13">
            <w:pPr>
              <w:jc w:val="center"/>
              <w:outlineLvl w:val="0"/>
              <w:rPr>
                <w:rFonts w:hint="default" w:ascii="Times New Roman" w:hAnsi="Times New Roman" w:eastAsia="宋体" w:cs="Times New Roman"/>
                <w:color w:val="auto"/>
                <w:szCs w:val="21"/>
                <w:highlight w:val="none"/>
              </w:rPr>
            </w:pPr>
            <w:bookmarkStart w:id="85" w:name="_Toc5411"/>
            <w:r>
              <w:rPr>
                <w:rFonts w:hint="default" w:ascii="Times New Roman" w:hAnsi="Times New Roman" w:eastAsia="宋体" w:cs="Times New Roman"/>
                <w:color w:val="auto"/>
                <w:szCs w:val="21"/>
                <w:highlight w:val="none"/>
              </w:rPr>
              <w:t>5年新增</w:t>
            </w:r>
            <w:r>
              <w:rPr>
                <w:rFonts w:hint="default" w:ascii="Times New Roman" w:hAnsi="Times New Roman" w:eastAsia="宋体" w:cs="Times New Roman"/>
                <w:color w:val="auto"/>
                <w:szCs w:val="21"/>
                <w:highlight w:val="none"/>
                <w:lang w:val="en-US" w:eastAsia="zh-CN"/>
              </w:rPr>
              <w:t>25</w:t>
            </w:r>
            <w:r>
              <w:rPr>
                <w:rFonts w:hint="default" w:ascii="Times New Roman" w:hAnsi="Times New Roman" w:eastAsia="宋体" w:cs="Times New Roman"/>
                <w:color w:val="auto"/>
                <w:szCs w:val="21"/>
                <w:highlight w:val="none"/>
              </w:rPr>
              <w:t>家</w:t>
            </w:r>
            <w:bookmarkEnd w:id="85"/>
          </w:p>
        </w:tc>
      </w:tr>
      <w:tr w14:paraId="5DDA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597B1277">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345247CD">
            <w:pPr>
              <w:jc w:val="center"/>
              <w:outlineLvl w:val="0"/>
              <w:rPr>
                <w:rFonts w:hint="default" w:ascii="Times New Roman" w:hAnsi="Times New Roman" w:eastAsia="宋体" w:cs="Times New Roman"/>
                <w:color w:val="auto"/>
                <w:szCs w:val="21"/>
                <w:highlight w:val="none"/>
              </w:rPr>
            </w:pPr>
            <w:bookmarkStart w:id="86" w:name="_Toc25128"/>
            <w:r>
              <w:rPr>
                <w:rFonts w:hint="default" w:ascii="Times New Roman" w:hAnsi="Times New Roman" w:eastAsia="宋体" w:cs="Times New Roman"/>
                <w:color w:val="auto"/>
                <w:szCs w:val="21"/>
                <w:highlight w:val="none"/>
              </w:rPr>
              <w:t>新增省级新产品、新技术认定（个）</w:t>
            </w:r>
            <w:bookmarkEnd w:id="86"/>
          </w:p>
        </w:tc>
        <w:tc>
          <w:tcPr>
            <w:tcW w:w="1347" w:type="dxa"/>
            <w:noWrap w:val="0"/>
            <w:vAlign w:val="center"/>
          </w:tcPr>
          <w:p w14:paraId="472B69EE">
            <w:pPr>
              <w:jc w:val="center"/>
              <w:outlineLvl w:val="0"/>
              <w:rPr>
                <w:rFonts w:hint="default" w:ascii="Times New Roman" w:hAnsi="Times New Roman" w:eastAsia="宋体" w:cs="Times New Roman"/>
                <w:color w:val="auto"/>
                <w:szCs w:val="21"/>
                <w:highlight w:val="none"/>
              </w:rPr>
            </w:pPr>
            <w:bookmarkStart w:id="87" w:name="_Toc24088"/>
            <w:r>
              <w:rPr>
                <w:rFonts w:hint="default" w:ascii="Times New Roman" w:hAnsi="Times New Roman" w:eastAsia="宋体" w:cs="Times New Roman"/>
                <w:color w:val="auto"/>
                <w:szCs w:val="21"/>
                <w:highlight w:val="none"/>
              </w:rPr>
              <w:t>预期性</w:t>
            </w:r>
            <w:bookmarkEnd w:id="87"/>
          </w:p>
        </w:tc>
        <w:tc>
          <w:tcPr>
            <w:tcW w:w="1717" w:type="dxa"/>
            <w:noWrap w:val="0"/>
            <w:vAlign w:val="center"/>
          </w:tcPr>
          <w:p w14:paraId="0CA1022D">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累计389个</w:t>
            </w:r>
          </w:p>
        </w:tc>
        <w:tc>
          <w:tcPr>
            <w:tcW w:w="1601" w:type="dxa"/>
            <w:noWrap w:val="0"/>
            <w:vAlign w:val="center"/>
          </w:tcPr>
          <w:p w14:paraId="188A5761">
            <w:pPr>
              <w:jc w:val="center"/>
              <w:outlineLvl w:val="0"/>
              <w:rPr>
                <w:rFonts w:hint="default" w:ascii="Times New Roman" w:hAnsi="Times New Roman" w:eastAsia="宋体" w:cs="Times New Roman"/>
                <w:color w:val="auto"/>
                <w:szCs w:val="21"/>
                <w:highlight w:val="none"/>
              </w:rPr>
            </w:pPr>
            <w:bookmarkStart w:id="88" w:name="_Toc636"/>
            <w:r>
              <w:rPr>
                <w:rFonts w:hint="default" w:ascii="Times New Roman" w:hAnsi="Times New Roman" w:eastAsia="宋体" w:cs="Times New Roman"/>
                <w:color w:val="auto"/>
                <w:szCs w:val="21"/>
                <w:highlight w:val="none"/>
              </w:rPr>
              <w:t>5年新增200个</w:t>
            </w:r>
            <w:bookmarkEnd w:id="88"/>
          </w:p>
        </w:tc>
      </w:tr>
      <w:tr w14:paraId="2F1D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4DCC9E9A">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22D9496C">
            <w:pPr>
              <w:jc w:val="center"/>
              <w:outlineLvl w:val="0"/>
              <w:rPr>
                <w:rFonts w:hint="default" w:ascii="Times New Roman" w:hAnsi="Times New Roman" w:eastAsia="宋体" w:cs="Times New Roman"/>
                <w:color w:val="auto"/>
                <w:szCs w:val="21"/>
                <w:highlight w:val="none"/>
              </w:rPr>
            </w:pPr>
            <w:bookmarkStart w:id="89" w:name="_Toc18725"/>
            <w:r>
              <w:rPr>
                <w:rFonts w:hint="default" w:ascii="Times New Roman" w:hAnsi="Times New Roman" w:eastAsia="宋体" w:cs="Times New Roman"/>
                <w:color w:val="auto"/>
                <w:szCs w:val="21"/>
                <w:highlight w:val="none"/>
              </w:rPr>
              <w:t>新增省级首台套重大装备（个）</w:t>
            </w:r>
            <w:bookmarkEnd w:id="89"/>
          </w:p>
        </w:tc>
        <w:tc>
          <w:tcPr>
            <w:tcW w:w="1347" w:type="dxa"/>
            <w:noWrap w:val="0"/>
            <w:vAlign w:val="center"/>
          </w:tcPr>
          <w:p w14:paraId="410627BE">
            <w:pPr>
              <w:jc w:val="center"/>
              <w:outlineLvl w:val="0"/>
              <w:rPr>
                <w:rFonts w:hint="default" w:ascii="Times New Roman" w:hAnsi="Times New Roman" w:eastAsia="宋体" w:cs="Times New Roman"/>
                <w:color w:val="auto"/>
                <w:szCs w:val="21"/>
                <w:highlight w:val="none"/>
              </w:rPr>
            </w:pPr>
            <w:bookmarkStart w:id="90" w:name="_Toc9312"/>
            <w:r>
              <w:rPr>
                <w:rFonts w:hint="default" w:ascii="Times New Roman" w:hAnsi="Times New Roman" w:eastAsia="宋体" w:cs="Times New Roman"/>
                <w:color w:val="auto"/>
                <w:szCs w:val="21"/>
                <w:highlight w:val="none"/>
              </w:rPr>
              <w:t>预期性</w:t>
            </w:r>
            <w:bookmarkEnd w:id="90"/>
          </w:p>
        </w:tc>
        <w:tc>
          <w:tcPr>
            <w:tcW w:w="1717" w:type="dxa"/>
            <w:noWrap w:val="0"/>
            <w:vAlign w:val="center"/>
          </w:tcPr>
          <w:p w14:paraId="473E435C">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累计12个</w:t>
            </w:r>
          </w:p>
        </w:tc>
        <w:tc>
          <w:tcPr>
            <w:tcW w:w="1601" w:type="dxa"/>
            <w:noWrap w:val="0"/>
            <w:vAlign w:val="center"/>
          </w:tcPr>
          <w:p w14:paraId="3E2F4DAC">
            <w:pPr>
              <w:jc w:val="center"/>
              <w:outlineLvl w:val="0"/>
              <w:rPr>
                <w:rFonts w:hint="default" w:ascii="Times New Roman" w:hAnsi="Times New Roman" w:eastAsia="宋体" w:cs="Times New Roman"/>
                <w:color w:val="auto"/>
                <w:szCs w:val="21"/>
                <w:highlight w:val="none"/>
              </w:rPr>
            </w:pPr>
            <w:bookmarkStart w:id="91" w:name="_Toc25850"/>
            <w:r>
              <w:rPr>
                <w:rFonts w:hint="default" w:ascii="Times New Roman" w:hAnsi="Times New Roman" w:eastAsia="宋体" w:cs="Times New Roman"/>
                <w:color w:val="auto"/>
                <w:szCs w:val="21"/>
                <w:highlight w:val="none"/>
              </w:rPr>
              <w:t>5年新增2-3个</w:t>
            </w:r>
            <w:bookmarkEnd w:id="91"/>
          </w:p>
        </w:tc>
      </w:tr>
      <w:tr w14:paraId="5F36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restart"/>
            <w:noWrap w:val="0"/>
            <w:vAlign w:val="center"/>
          </w:tcPr>
          <w:p w14:paraId="35F479A5">
            <w:pPr>
              <w:jc w:val="center"/>
              <w:outlineLvl w:val="0"/>
              <w:rPr>
                <w:rFonts w:hint="default" w:ascii="Times New Roman" w:hAnsi="Times New Roman" w:eastAsia="宋体" w:cs="Times New Roman"/>
                <w:color w:val="auto"/>
                <w:szCs w:val="21"/>
                <w:highlight w:val="none"/>
              </w:rPr>
            </w:pPr>
            <w:bookmarkStart w:id="92" w:name="_Toc19580"/>
            <w:r>
              <w:rPr>
                <w:rFonts w:hint="default" w:ascii="Times New Roman" w:hAnsi="Times New Roman" w:eastAsia="宋体" w:cs="Times New Roman"/>
                <w:color w:val="auto"/>
                <w:szCs w:val="21"/>
                <w:highlight w:val="none"/>
                <w:lang w:val="en-US" w:eastAsia="zh-CN"/>
              </w:rPr>
              <w:t>数</w:t>
            </w:r>
            <w:r>
              <w:rPr>
                <w:rFonts w:hint="default" w:ascii="Times New Roman" w:hAnsi="Times New Roman" w:eastAsia="宋体" w:cs="Times New Roman"/>
                <w:color w:val="auto"/>
                <w:szCs w:val="21"/>
                <w:highlight w:val="none"/>
              </w:rPr>
              <w:t>智</w:t>
            </w:r>
            <w:r>
              <w:rPr>
                <w:rFonts w:hint="default" w:ascii="Times New Roman" w:hAnsi="Times New Roman" w:eastAsia="宋体" w:cs="Times New Roman"/>
                <w:color w:val="auto"/>
                <w:szCs w:val="21"/>
                <w:highlight w:val="none"/>
                <w:lang w:val="en-US" w:eastAsia="zh-CN"/>
              </w:rPr>
              <w:t>化发展</w:t>
            </w:r>
            <w:bookmarkEnd w:id="92"/>
          </w:p>
        </w:tc>
        <w:tc>
          <w:tcPr>
            <w:tcW w:w="3027" w:type="dxa"/>
            <w:noWrap w:val="0"/>
            <w:vAlign w:val="center"/>
          </w:tcPr>
          <w:p w14:paraId="56E622E8">
            <w:pPr>
              <w:jc w:val="center"/>
              <w:outlineLvl w:val="0"/>
              <w:rPr>
                <w:rFonts w:hint="default" w:ascii="Times New Roman" w:hAnsi="Times New Roman" w:eastAsia="宋体" w:cs="Times New Roman"/>
                <w:color w:val="auto"/>
                <w:szCs w:val="21"/>
                <w:highlight w:val="none"/>
              </w:rPr>
            </w:pPr>
            <w:bookmarkStart w:id="93" w:name="_Toc31092"/>
            <w:r>
              <w:rPr>
                <w:rFonts w:hint="default" w:ascii="Times New Roman" w:hAnsi="Times New Roman" w:eastAsia="宋体" w:cs="Times New Roman"/>
                <w:color w:val="auto"/>
                <w:szCs w:val="21"/>
                <w:highlight w:val="none"/>
              </w:rPr>
              <w:t>新增先进级智能工厂（家）</w:t>
            </w:r>
            <w:bookmarkEnd w:id="93"/>
          </w:p>
        </w:tc>
        <w:tc>
          <w:tcPr>
            <w:tcW w:w="1347" w:type="dxa"/>
            <w:noWrap w:val="0"/>
            <w:vAlign w:val="center"/>
          </w:tcPr>
          <w:p w14:paraId="6BD33744">
            <w:pPr>
              <w:jc w:val="center"/>
              <w:outlineLvl w:val="0"/>
              <w:rPr>
                <w:rFonts w:hint="default" w:ascii="Times New Roman" w:hAnsi="Times New Roman" w:eastAsia="宋体" w:cs="Times New Roman"/>
                <w:color w:val="auto"/>
                <w:szCs w:val="21"/>
                <w:highlight w:val="none"/>
              </w:rPr>
            </w:pPr>
            <w:bookmarkStart w:id="94" w:name="_Toc27077"/>
            <w:r>
              <w:rPr>
                <w:rFonts w:hint="default" w:ascii="Times New Roman" w:hAnsi="Times New Roman" w:eastAsia="宋体" w:cs="Times New Roman"/>
                <w:color w:val="auto"/>
                <w:szCs w:val="21"/>
                <w:highlight w:val="none"/>
              </w:rPr>
              <w:t>预期性</w:t>
            </w:r>
            <w:bookmarkEnd w:id="94"/>
          </w:p>
        </w:tc>
        <w:tc>
          <w:tcPr>
            <w:tcW w:w="1717" w:type="dxa"/>
            <w:noWrap w:val="0"/>
            <w:vAlign w:val="center"/>
          </w:tcPr>
          <w:p w14:paraId="25A09B3C">
            <w:pPr>
              <w:jc w:val="center"/>
              <w:outlineLvl w:val="0"/>
              <w:rPr>
                <w:rFonts w:hint="default" w:ascii="Times New Roman" w:hAnsi="Times New Roman" w:eastAsia="宋体" w:cs="Times New Roman"/>
                <w:color w:val="auto"/>
                <w:szCs w:val="21"/>
                <w:highlight w:val="none"/>
                <w:lang w:val="en-US" w:eastAsia="zh-CN"/>
              </w:rPr>
            </w:pPr>
            <w:bookmarkStart w:id="95" w:name="_Toc3603"/>
            <w:r>
              <w:rPr>
                <w:rFonts w:hint="default" w:ascii="Times New Roman" w:hAnsi="Times New Roman" w:eastAsia="宋体" w:cs="Times New Roman"/>
                <w:color w:val="auto"/>
                <w:szCs w:val="21"/>
                <w:highlight w:val="none"/>
                <w:lang w:val="en-US" w:eastAsia="zh-CN"/>
              </w:rPr>
              <w:t>累计21家</w:t>
            </w:r>
            <w:bookmarkEnd w:id="95"/>
          </w:p>
        </w:tc>
        <w:tc>
          <w:tcPr>
            <w:tcW w:w="1601" w:type="dxa"/>
            <w:noWrap w:val="0"/>
            <w:vAlign w:val="center"/>
          </w:tcPr>
          <w:p w14:paraId="24D11770">
            <w:pPr>
              <w:jc w:val="center"/>
              <w:outlineLvl w:val="0"/>
              <w:rPr>
                <w:rFonts w:hint="default" w:ascii="Times New Roman" w:hAnsi="Times New Roman" w:eastAsia="宋体" w:cs="Times New Roman"/>
                <w:color w:val="auto"/>
                <w:szCs w:val="21"/>
                <w:highlight w:val="none"/>
              </w:rPr>
            </w:pPr>
            <w:bookmarkStart w:id="96" w:name="_Toc28820"/>
            <w:r>
              <w:rPr>
                <w:rFonts w:hint="default" w:ascii="Times New Roman" w:hAnsi="Times New Roman" w:eastAsia="宋体" w:cs="Times New Roman"/>
                <w:color w:val="auto"/>
                <w:szCs w:val="21"/>
                <w:highlight w:val="none"/>
              </w:rPr>
              <w:t>5年新增</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0家</w:t>
            </w:r>
            <w:bookmarkEnd w:id="96"/>
          </w:p>
        </w:tc>
      </w:tr>
      <w:tr w14:paraId="12AD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1ECF798F">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79FCD814">
            <w:pPr>
              <w:jc w:val="center"/>
              <w:outlineLvl w:val="0"/>
              <w:rPr>
                <w:rFonts w:hint="default" w:ascii="Times New Roman" w:hAnsi="Times New Roman" w:eastAsia="宋体" w:cs="Times New Roman"/>
                <w:color w:val="auto"/>
                <w:szCs w:val="21"/>
                <w:highlight w:val="none"/>
              </w:rPr>
            </w:pPr>
            <w:bookmarkStart w:id="97" w:name="_Toc3396"/>
            <w:r>
              <w:rPr>
                <w:rFonts w:hint="default" w:ascii="Times New Roman" w:hAnsi="Times New Roman" w:eastAsia="宋体" w:cs="Times New Roman"/>
                <w:color w:val="auto"/>
                <w:szCs w:val="21"/>
                <w:highlight w:val="none"/>
              </w:rPr>
              <w:t>新增卓越级智能工厂（家）</w:t>
            </w:r>
            <w:bookmarkEnd w:id="97"/>
          </w:p>
        </w:tc>
        <w:tc>
          <w:tcPr>
            <w:tcW w:w="1347" w:type="dxa"/>
            <w:noWrap w:val="0"/>
            <w:vAlign w:val="center"/>
          </w:tcPr>
          <w:p w14:paraId="265FF19A">
            <w:pPr>
              <w:jc w:val="center"/>
              <w:outlineLvl w:val="0"/>
              <w:rPr>
                <w:rFonts w:hint="default" w:ascii="Times New Roman" w:hAnsi="Times New Roman" w:eastAsia="宋体" w:cs="Times New Roman"/>
                <w:color w:val="auto"/>
                <w:szCs w:val="21"/>
                <w:highlight w:val="none"/>
              </w:rPr>
            </w:pPr>
            <w:bookmarkStart w:id="98" w:name="_Toc4940"/>
            <w:r>
              <w:rPr>
                <w:rFonts w:hint="default" w:ascii="Times New Roman" w:hAnsi="Times New Roman" w:eastAsia="宋体" w:cs="Times New Roman"/>
                <w:color w:val="auto"/>
                <w:szCs w:val="21"/>
                <w:highlight w:val="none"/>
              </w:rPr>
              <w:t>预期性</w:t>
            </w:r>
            <w:bookmarkEnd w:id="98"/>
          </w:p>
        </w:tc>
        <w:tc>
          <w:tcPr>
            <w:tcW w:w="1717" w:type="dxa"/>
            <w:noWrap w:val="0"/>
            <w:vAlign w:val="center"/>
          </w:tcPr>
          <w:p w14:paraId="6C297144">
            <w:pPr>
              <w:jc w:val="center"/>
              <w:outlineLvl w:val="0"/>
              <w:rPr>
                <w:rFonts w:hint="default" w:ascii="Times New Roman" w:hAnsi="Times New Roman" w:eastAsia="宋体" w:cs="Times New Roman"/>
                <w:color w:val="auto"/>
                <w:szCs w:val="21"/>
                <w:highlight w:val="none"/>
                <w:lang w:val="en-US" w:eastAsia="zh-CN"/>
              </w:rPr>
            </w:pPr>
            <w:bookmarkStart w:id="99" w:name="_Toc13019"/>
            <w:r>
              <w:rPr>
                <w:rFonts w:hint="default" w:ascii="Times New Roman" w:hAnsi="Times New Roman" w:eastAsia="宋体" w:cs="Times New Roman"/>
                <w:color w:val="auto"/>
                <w:szCs w:val="21"/>
                <w:highlight w:val="none"/>
                <w:lang w:val="en-US" w:eastAsia="zh-CN"/>
              </w:rPr>
              <w:t>累计1家</w:t>
            </w:r>
            <w:bookmarkEnd w:id="99"/>
          </w:p>
        </w:tc>
        <w:tc>
          <w:tcPr>
            <w:tcW w:w="1601" w:type="dxa"/>
            <w:noWrap w:val="0"/>
            <w:vAlign w:val="center"/>
          </w:tcPr>
          <w:p w14:paraId="1A4B4728">
            <w:pPr>
              <w:jc w:val="center"/>
              <w:outlineLvl w:val="0"/>
              <w:rPr>
                <w:rFonts w:hint="default" w:ascii="Times New Roman" w:hAnsi="Times New Roman" w:eastAsia="宋体" w:cs="Times New Roman"/>
                <w:color w:val="auto"/>
                <w:szCs w:val="21"/>
                <w:highlight w:val="none"/>
              </w:rPr>
            </w:pPr>
            <w:bookmarkStart w:id="100" w:name="_Toc11629"/>
            <w:r>
              <w:rPr>
                <w:rFonts w:hint="default" w:ascii="Times New Roman" w:hAnsi="Times New Roman" w:eastAsia="宋体" w:cs="Times New Roman"/>
                <w:color w:val="auto"/>
                <w:szCs w:val="21"/>
                <w:highlight w:val="none"/>
              </w:rPr>
              <w:t>5年新增</w:t>
            </w:r>
            <w:r>
              <w:rPr>
                <w:rFonts w:hint="default" w:ascii="Times New Roman" w:hAnsi="Times New Roman" w:eastAsia="宋体" w:cs="Times New Roman"/>
                <w:color w:val="auto"/>
                <w:szCs w:val="21"/>
                <w:highlight w:val="none"/>
                <w:lang w:val="en-US" w:eastAsia="zh-CN"/>
              </w:rPr>
              <w:t>1-2</w:t>
            </w:r>
            <w:r>
              <w:rPr>
                <w:rFonts w:hint="default" w:ascii="Times New Roman" w:hAnsi="Times New Roman" w:eastAsia="宋体" w:cs="Times New Roman"/>
                <w:color w:val="auto"/>
                <w:szCs w:val="21"/>
                <w:highlight w:val="none"/>
              </w:rPr>
              <w:t>家</w:t>
            </w:r>
            <w:bookmarkEnd w:id="100"/>
          </w:p>
        </w:tc>
      </w:tr>
      <w:tr w14:paraId="4EFA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47540819">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654FFD7B">
            <w:pPr>
              <w:jc w:val="center"/>
              <w:outlineLvl w:val="0"/>
              <w:rPr>
                <w:rFonts w:hint="default" w:ascii="Times New Roman" w:hAnsi="Times New Roman" w:eastAsia="宋体" w:cs="Times New Roman"/>
                <w:color w:val="auto"/>
                <w:szCs w:val="21"/>
                <w:highlight w:val="none"/>
              </w:rPr>
            </w:pPr>
            <w:bookmarkStart w:id="101" w:name="_Toc10089"/>
            <w:r>
              <w:rPr>
                <w:rFonts w:hint="default" w:ascii="Times New Roman" w:hAnsi="Times New Roman" w:eastAsia="宋体" w:cs="Times New Roman"/>
                <w:color w:val="auto"/>
                <w:szCs w:val="21"/>
                <w:highlight w:val="none"/>
              </w:rPr>
              <w:t>基础级智能工厂占规上企业数比重%</w:t>
            </w:r>
            <w:bookmarkEnd w:id="101"/>
          </w:p>
        </w:tc>
        <w:tc>
          <w:tcPr>
            <w:tcW w:w="1347" w:type="dxa"/>
            <w:noWrap w:val="0"/>
            <w:vAlign w:val="center"/>
          </w:tcPr>
          <w:p w14:paraId="5DE75992">
            <w:pPr>
              <w:jc w:val="center"/>
              <w:outlineLvl w:val="0"/>
              <w:rPr>
                <w:rFonts w:hint="default" w:ascii="Times New Roman" w:hAnsi="Times New Roman" w:eastAsia="宋体" w:cs="Times New Roman"/>
                <w:color w:val="auto"/>
                <w:szCs w:val="21"/>
                <w:highlight w:val="none"/>
              </w:rPr>
            </w:pPr>
            <w:bookmarkStart w:id="102" w:name="_Toc23560"/>
            <w:r>
              <w:rPr>
                <w:rFonts w:hint="default" w:ascii="Times New Roman" w:hAnsi="Times New Roman" w:eastAsia="宋体" w:cs="Times New Roman"/>
                <w:color w:val="auto"/>
                <w:szCs w:val="21"/>
                <w:highlight w:val="none"/>
              </w:rPr>
              <w:t>预期性</w:t>
            </w:r>
            <w:bookmarkEnd w:id="102"/>
          </w:p>
        </w:tc>
        <w:tc>
          <w:tcPr>
            <w:tcW w:w="1717" w:type="dxa"/>
            <w:noWrap w:val="0"/>
            <w:vAlign w:val="center"/>
          </w:tcPr>
          <w:p w14:paraId="3D4744F3">
            <w:pPr>
              <w:jc w:val="center"/>
              <w:outlineLvl w:val="0"/>
              <w:rPr>
                <w:rFonts w:hint="default" w:ascii="Times New Roman" w:hAnsi="Times New Roman" w:eastAsia="宋体" w:cs="Times New Roman"/>
                <w:color w:val="auto"/>
                <w:szCs w:val="21"/>
                <w:highlight w:val="none"/>
                <w:lang w:val="en-US" w:eastAsia="zh-CN"/>
              </w:rPr>
            </w:pPr>
            <w:bookmarkStart w:id="103" w:name="_Toc30561"/>
            <w:r>
              <w:rPr>
                <w:rFonts w:hint="default" w:ascii="Times New Roman" w:hAnsi="Times New Roman" w:eastAsia="宋体" w:cs="Times New Roman"/>
                <w:color w:val="auto"/>
                <w:szCs w:val="21"/>
                <w:highlight w:val="none"/>
                <w:lang w:val="en-US" w:eastAsia="zh-CN"/>
              </w:rPr>
              <w:t>20%</w:t>
            </w:r>
            <w:bookmarkEnd w:id="103"/>
          </w:p>
        </w:tc>
        <w:tc>
          <w:tcPr>
            <w:tcW w:w="1601" w:type="dxa"/>
            <w:noWrap w:val="0"/>
            <w:vAlign w:val="center"/>
          </w:tcPr>
          <w:p w14:paraId="03A07FE5">
            <w:pPr>
              <w:jc w:val="center"/>
              <w:outlineLvl w:val="0"/>
              <w:rPr>
                <w:rFonts w:hint="default" w:ascii="Times New Roman" w:hAnsi="Times New Roman" w:eastAsia="宋体" w:cs="Times New Roman"/>
                <w:color w:val="auto"/>
                <w:szCs w:val="21"/>
                <w:highlight w:val="none"/>
              </w:rPr>
            </w:pPr>
            <w:bookmarkStart w:id="104" w:name="_Toc22246"/>
            <w:r>
              <w:rPr>
                <w:rFonts w:hint="default" w:ascii="Times New Roman" w:hAnsi="Times New Roman" w:eastAsia="宋体" w:cs="Times New Roman"/>
                <w:color w:val="auto"/>
                <w:szCs w:val="21"/>
                <w:highlight w:val="none"/>
                <w:lang w:val="en-US" w:eastAsia="zh-CN"/>
              </w:rPr>
              <w:t>40</w:t>
            </w:r>
            <w:r>
              <w:rPr>
                <w:rFonts w:hint="default" w:ascii="Times New Roman" w:hAnsi="Times New Roman" w:eastAsia="宋体" w:cs="Times New Roman"/>
                <w:color w:val="auto"/>
                <w:szCs w:val="21"/>
                <w:highlight w:val="none"/>
              </w:rPr>
              <w:t>%</w:t>
            </w:r>
            <w:bookmarkEnd w:id="104"/>
          </w:p>
        </w:tc>
      </w:tr>
      <w:tr w14:paraId="16ED0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09AFD23F">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3F7334E9">
            <w:pPr>
              <w:jc w:val="center"/>
              <w:outlineLvl w:val="0"/>
              <w:rPr>
                <w:rFonts w:hint="default" w:ascii="Times New Roman" w:hAnsi="Times New Roman" w:eastAsia="宋体" w:cs="Times New Roman"/>
                <w:color w:val="auto"/>
                <w:szCs w:val="21"/>
                <w:highlight w:val="none"/>
              </w:rPr>
            </w:pPr>
            <w:bookmarkStart w:id="105" w:name="_Toc19483"/>
            <w:r>
              <w:rPr>
                <w:rFonts w:hint="default" w:ascii="Times New Roman" w:hAnsi="Times New Roman" w:eastAsia="宋体" w:cs="Times New Roman"/>
                <w:color w:val="auto"/>
                <w:szCs w:val="21"/>
                <w:highlight w:val="none"/>
              </w:rPr>
              <w:t>省重点工业互联网平台（个）</w:t>
            </w:r>
            <w:bookmarkEnd w:id="105"/>
          </w:p>
        </w:tc>
        <w:tc>
          <w:tcPr>
            <w:tcW w:w="1347" w:type="dxa"/>
            <w:noWrap w:val="0"/>
            <w:vAlign w:val="center"/>
          </w:tcPr>
          <w:p w14:paraId="6CA1293F">
            <w:pPr>
              <w:jc w:val="center"/>
              <w:outlineLvl w:val="0"/>
              <w:rPr>
                <w:rFonts w:hint="default" w:ascii="Times New Roman" w:hAnsi="Times New Roman" w:eastAsia="宋体" w:cs="Times New Roman"/>
                <w:color w:val="auto"/>
                <w:szCs w:val="21"/>
                <w:highlight w:val="none"/>
              </w:rPr>
            </w:pPr>
            <w:bookmarkStart w:id="106" w:name="_Toc30694"/>
            <w:r>
              <w:rPr>
                <w:rFonts w:hint="default" w:ascii="Times New Roman" w:hAnsi="Times New Roman" w:eastAsia="宋体" w:cs="Times New Roman"/>
                <w:color w:val="auto"/>
                <w:szCs w:val="21"/>
                <w:highlight w:val="none"/>
              </w:rPr>
              <w:t>预期性</w:t>
            </w:r>
            <w:bookmarkEnd w:id="106"/>
          </w:p>
        </w:tc>
        <w:tc>
          <w:tcPr>
            <w:tcW w:w="1717" w:type="dxa"/>
            <w:noWrap w:val="0"/>
            <w:vAlign w:val="center"/>
          </w:tcPr>
          <w:p w14:paraId="1BD2C5E7">
            <w:pPr>
              <w:jc w:val="center"/>
              <w:outlineLvl w:val="0"/>
              <w:rPr>
                <w:rFonts w:hint="default" w:ascii="Times New Roman" w:hAnsi="Times New Roman" w:eastAsia="宋体" w:cs="Times New Roman"/>
                <w:color w:val="auto"/>
                <w:szCs w:val="21"/>
                <w:highlight w:val="none"/>
                <w:lang w:val="en-US" w:eastAsia="zh-CN"/>
              </w:rPr>
            </w:pPr>
            <w:bookmarkStart w:id="107" w:name="_Toc15925"/>
            <w:r>
              <w:rPr>
                <w:rFonts w:hint="default" w:ascii="Times New Roman" w:hAnsi="Times New Roman" w:eastAsia="宋体" w:cs="Times New Roman"/>
                <w:color w:val="auto"/>
                <w:szCs w:val="21"/>
                <w:highlight w:val="none"/>
                <w:lang w:val="en-US" w:eastAsia="zh-CN"/>
              </w:rPr>
              <w:t>累计4个</w:t>
            </w:r>
            <w:bookmarkEnd w:id="107"/>
          </w:p>
        </w:tc>
        <w:tc>
          <w:tcPr>
            <w:tcW w:w="1601" w:type="dxa"/>
            <w:noWrap w:val="0"/>
            <w:vAlign w:val="center"/>
          </w:tcPr>
          <w:p w14:paraId="5EFEB270">
            <w:pPr>
              <w:jc w:val="center"/>
              <w:outlineLvl w:val="0"/>
              <w:rPr>
                <w:rFonts w:hint="default" w:ascii="Times New Roman" w:hAnsi="Times New Roman" w:eastAsia="宋体" w:cs="Times New Roman"/>
                <w:color w:val="auto"/>
                <w:szCs w:val="21"/>
                <w:highlight w:val="none"/>
              </w:rPr>
            </w:pPr>
            <w:bookmarkStart w:id="108" w:name="_Toc2659"/>
            <w:r>
              <w:rPr>
                <w:rFonts w:hint="default" w:ascii="Times New Roman" w:hAnsi="Times New Roman" w:eastAsia="宋体" w:cs="Times New Roman"/>
                <w:color w:val="auto"/>
                <w:szCs w:val="21"/>
                <w:highlight w:val="none"/>
              </w:rPr>
              <w:t>5年新增</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5家</w:t>
            </w:r>
            <w:bookmarkEnd w:id="108"/>
          </w:p>
        </w:tc>
      </w:tr>
      <w:tr w14:paraId="2909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0C3BBD71">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309E41BC">
            <w:pPr>
              <w:jc w:val="center"/>
              <w:outlineLvl w:val="0"/>
              <w:rPr>
                <w:rFonts w:hint="default" w:ascii="Times New Roman" w:hAnsi="Times New Roman" w:eastAsia="宋体" w:cs="Times New Roman"/>
                <w:color w:val="auto"/>
                <w:szCs w:val="21"/>
                <w:highlight w:val="none"/>
              </w:rPr>
            </w:pPr>
            <w:bookmarkStart w:id="109" w:name="_Toc5110"/>
            <w:r>
              <w:rPr>
                <w:rFonts w:hint="default" w:ascii="Times New Roman" w:hAnsi="Times New Roman" w:eastAsia="宋体" w:cs="Times New Roman"/>
                <w:color w:val="auto"/>
                <w:szCs w:val="21"/>
                <w:highlight w:val="none"/>
              </w:rPr>
              <w:t>智能化技术改造项目（个）</w:t>
            </w:r>
            <w:bookmarkEnd w:id="109"/>
          </w:p>
        </w:tc>
        <w:tc>
          <w:tcPr>
            <w:tcW w:w="1347" w:type="dxa"/>
            <w:noWrap w:val="0"/>
            <w:vAlign w:val="center"/>
          </w:tcPr>
          <w:p w14:paraId="1F617D19">
            <w:pPr>
              <w:jc w:val="center"/>
              <w:outlineLvl w:val="0"/>
              <w:rPr>
                <w:rFonts w:hint="default" w:ascii="Times New Roman" w:hAnsi="Times New Roman" w:eastAsia="宋体" w:cs="Times New Roman"/>
                <w:color w:val="auto"/>
                <w:szCs w:val="21"/>
                <w:highlight w:val="none"/>
              </w:rPr>
            </w:pPr>
            <w:bookmarkStart w:id="110" w:name="_Toc2714"/>
            <w:r>
              <w:rPr>
                <w:rFonts w:hint="default" w:ascii="Times New Roman" w:hAnsi="Times New Roman" w:eastAsia="宋体" w:cs="Times New Roman"/>
                <w:color w:val="auto"/>
                <w:szCs w:val="21"/>
                <w:highlight w:val="none"/>
              </w:rPr>
              <w:t>预期性</w:t>
            </w:r>
            <w:bookmarkEnd w:id="110"/>
          </w:p>
        </w:tc>
        <w:tc>
          <w:tcPr>
            <w:tcW w:w="1717" w:type="dxa"/>
            <w:noWrap w:val="0"/>
            <w:vAlign w:val="center"/>
          </w:tcPr>
          <w:p w14:paraId="08CE1340">
            <w:pPr>
              <w:jc w:val="center"/>
              <w:outlineLvl w:val="0"/>
              <w:rPr>
                <w:rFonts w:hint="default" w:ascii="Times New Roman" w:hAnsi="Times New Roman" w:eastAsia="宋体" w:cs="Times New Roman"/>
                <w:color w:val="auto"/>
                <w:szCs w:val="21"/>
                <w:highlight w:val="none"/>
                <w:lang w:val="en-US" w:eastAsia="zh-CN"/>
              </w:rPr>
            </w:pPr>
            <w:bookmarkStart w:id="111" w:name="_Toc4998"/>
            <w:r>
              <w:rPr>
                <w:rFonts w:hint="default" w:ascii="Times New Roman" w:hAnsi="Times New Roman" w:eastAsia="宋体" w:cs="Times New Roman"/>
                <w:color w:val="auto"/>
                <w:szCs w:val="21"/>
                <w:highlight w:val="none"/>
                <w:lang w:val="en-US" w:eastAsia="zh-CN"/>
              </w:rPr>
              <w:t>5年累计120个</w:t>
            </w:r>
            <w:bookmarkEnd w:id="111"/>
          </w:p>
        </w:tc>
        <w:tc>
          <w:tcPr>
            <w:tcW w:w="1601" w:type="dxa"/>
            <w:noWrap w:val="0"/>
            <w:vAlign w:val="center"/>
          </w:tcPr>
          <w:p w14:paraId="1586668B">
            <w:pPr>
              <w:jc w:val="center"/>
              <w:outlineLvl w:val="0"/>
              <w:rPr>
                <w:rFonts w:hint="default" w:ascii="Times New Roman" w:hAnsi="Times New Roman" w:eastAsia="宋体" w:cs="Times New Roman"/>
                <w:color w:val="auto"/>
                <w:szCs w:val="21"/>
                <w:highlight w:val="none"/>
              </w:rPr>
            </w:pPr>
            <w:bookmarkStart w:id="112" w:name="_Toc32103"/>
            <w:r>
              <w:rPr>
                <w:rFonts w:hint="default" w:ascii="Times New Roman" w:hAnsi="Times New Roman" w:eastAsia="宋体" w:cs="Times New Roman"/>
                <w:color w:val="auto"/>
                <w:szCs w:val="21"/>
                <w:highlight w:val="none"/>
              </w:rPr>
              <w:t>5年累计实施</w:t>
            </w:r>
            <w:r>
              <w:rPr>
                <w:rFonts w:hint="default" w:ascii="Times New Roman" w:hAnsi="Times New Roman" w:eastAsia="宋体" w:cs="Times New Roman"/>
                <w:color w:val="auto"/>
                <w:szCs w:val="21"/>
                <w:highlight w:val="none"/>
                <w:lang w:val="en-US" w:eastAsia="zh-CN"/>
              </w:rPr>
              <w:t>200</w:t>
            </w:r>
            <w:r>
              <w:rPr>
                <w:rFonts w:hint="default" w:ascii="Times New Roman" w:hAnsi="Times New Roman" w:eastAsia="宋体" w:cs="Times New Roman"/>
                <w:color w:val="auto"/>
                <w:szCs w:val="21"/>
                <w:highlight w:val="none"/>
              </w:rPr>
              <w:t>个</w:t>
            </w:r>
            <w:bookmarkEnd w:id="112"/>
          </w:p>
        </w:tc>
      </w:tr>
      <w:tr w14:paraId="3445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70CFCFCC">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59B9623B">
            <w:pPr>
              <w:jc w:val="center"/>
              <w:outlineLvl w:val="0"/>
              <w:rPr>
                <w:rFonts w:hint="default" w:ascii="Times New Roman" w:hAnsi="Times New Roman" w:eastAsia="宋体" w:cs="Times New Roman"/>
                <w:color w:val="auto"/>
                <w:szCs w:val="21"/>
                <w:highlight w:val="none"/>
              </w:rPr>
            </w:pPr>
            <w:bookmarkStart w:id="113" w:name="_Toc4164"/>
            <w:r>
              <w:rPr>
                <w:rFonts w:hint="default" w:ascii="Times New Roman" w:hAnsi="Times New Roman" w:eastAsia="宋体" w:cs="Times New Roman"/>
                <w:color w:val="auto"/>
                <w:szCs w:val="21"/>
                <w:highlight w:val="none"/>
              </w:rPr>
              <w:t>智能制造能力成熟度贯标获证企业（家）</w:t>
            </w:r>
            <w:bookmarkEnd w:id="113"/>
          </w:p>
        </w:tc>
        <w:tc>
          <w:tcPr>
            <w:tcW w:w="1347" w:type="dxa"/>
            <w:noWrap w:val="0"/>
            <w:vAlign w:val="center"/>
          </w:tcPr>
          <w:p w14:paraId="1F5BFDA2">
            <w:pPr>
              <w:jc w:val="center"/>
              <w:outlineLvl w:val="0"/>
              <w:rPr>
                <w:rFonts w:hint="default" w:ascii="Times New Roman" w:hAnsi="Times New Roman" w:eastAsia="宋体" w:cs="Times New Roman"/>
                <w:color w:val="auto"/>
                <w:szCs w:val="21"/>
                <w:highlight w:val="none"/>
              </w:rPr>
            </w:pPr>
            <w:bookmarkStart w:id="114" w:name="_Toc2777"/>
            <w:r>
              <w:rPr>
                <w:rFonts w:hint="default" w:ascii="Times New Roman" w:hAnsi="Times New Roman" w:eastAsia="宋体" w:cs="Times New Roman"/>
                <w:color w:val="auto"/>
                <w:szCs w:val="21"/>
                <w:highlight w:val="none"/>
              </w:rPr>
              <w:t>预期性</w:t>
            </w:r>
            <w:bookmarkEnd w:id="114"/>
          </w:p>
        </w:tc>
        <w:tc>
          <w:tcPr>
            <w:tcW w:w="1717" w:type="dxa"/>
            <w:noWrap w:val="0"/>
            <w:vAlign w:val="center"/>
          </w:tcPr>
          <w:p w14:paraId="08B2728E">
            <w:pPr>
              <w:jc w:val="center"/>
              <w:outlineLvl w:val="0"/>
              <w:rPr>
                <w:rFonts w:hint="default" w:ascii="Times New Roman" w:hAnsi="Times New Roman" w:eastAsia="宋体" w:cs="Times New Roman"/>
                <w:color w:val="auto"/>
                <w:szCs w:val="21"/>
                <w:highlight w:val="none"/>
                <w:lang w:val="en-US" w:eastAsia="zh-CN"/>
              </w:rPr>
            </w:pPr>
            <w:bookmarkStart w:id="115" w:name="_Toc21384"/>
            <w:r>
              <w:rPr>
                <w:rFonts w:hint="default" w:ascii="Times New Roman" w:hAnsi="Times New Roman" w:eastAsia="宋体" w:cs="Times New Roman"/>
                <w:color w:val="auto"/>
                <w:szCs w:val="21"/>
                <w:highlight w:val="none"/>
                <w:lang w:val="en-US" w:eastAsia="zh-CN"/>
              </w:rPr>
              <w:t>累计2家</w:t>
            </w:r>
            <w:bookmarkEnd w:id="115"/>
          </w:p>
        </w:tc>
        <w:tc>
          <w:tcPr>
            <w:tcW w:w="1601" w:type="dxa"/>
            <w:noWrap w:val="0"/>
            <w:vAlign w:val="center"/>
          </w:tcPr>
          <w:p w14:paraId="6A4704A7">
            <w:pPr>
              <w:jc w:val="center"/>
              <w:outlineLvl w:val="0"/>
              <w:rPr>
                <w:rFonts w:hint="default" w:ascii="Times New Roman" w:hAnsi="Times New Roman" w:eastAsia="宋体" w:cs="Times New Roman"/>
                <w:color w:val="auto"/>
                <w:szCs w:val="21"/>
                <w:highlight w:val="none"/>
              </w:rPr>
            </w:pPr>
            <w:bookmarkStart w:id="116" w:name="_Toc6758"/>
            <w:r>
              <w:rPr>
                <w:rFonts w:hint="default" w:ascii="Times New Roman" w:hAnsi="Times New Roman" w:eastAsia="宋体" w:cs="Times New Roman"/>
                <w:color w:val="auto"/>
                <w:szCs w:val="21"/>
                <w:highlight w:val="none"/>
              </w:rPr>
              <w:t>5年新增10家以上</w:t>
            </w:r>
            <w:bookmarkEnd w:id="116"/>
          </w:p>
        </w:tc>
      </w:tr>
      <w:tr w14:paraId="0E96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24F71E9E">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2784CB39">
            <w:pPr>
              <w:jc w:val="center"/>
              <w:outlineLvl w:val="0"/>
              <w:rPr>
                <w:rFonts w:hint="default" w:ascii="Times New Roman" w:hAnsi="Times New Roman" w:eastAsia="宋体" w:cs="Times New Roman"/>
                <w:color w:val="auto"/>
                <w:szCs w:val="21"/>
                <w:highlight w:val="none"/>
              </w:rPr>
            </w:pPr>
            <w:bookmarkStart w:id="117" w:name="_Toc17535"/>
            <w:r>
              <w:rPr>
                <w:rFonts w:hint="default" w:ascii="Times New Roman" w:hAnsi="Times New Roman" w:eastAsia="宋体" w:cs="Times New Roman"/>
                <w:color w:val="auto"/>
                <w:szCs w:val="21"/>
                <w:highlight w:val="none"/>
              </w:rPr>
              <w:t>国家级5G工厂（家）</w:t>
            </w:r>
            <w:bookmarkEnd w:id="117"/>
          </w:p>
        </w:tc>
        <w:tc>
          <w:tcPr>
            <w:tcW w:w="1347" w:type="dxa"/>
            <w:noWrap w:val="0"/>
            <w:vAlign w:val="center"/>
          </w:tcPr>
          <w:p w14:paraId="3C808330">
            <w:pPr>
              <w:jc w:val="center"/>
              <w:outlineLvl w:val="0"/>
              <w:rPr>
                <w:rFonts w:hint="default" w:ascii="Times New Roman" w:hAnsi="Times New Roman" w:eastAsia="宋体" w:cs="Times New Roman"/>
                <w:color w:val="auto"/>
                <w:szCs w:val="21"/>
                <w:highlight w:val="none"/>
              </w:rPr>
            </w:pPr>
            <w:bookmarkStart w:id="118" w:name="_Toc26057"/>
            <w:r>
              <w:rPr>
                <w:rFonts w:hint="default" w:ascii="Times New Roman" w:hAnsi="Times New Roman" w:eastAsia="宋体" w:cs="Times New Roman"/>
                <w:color w:val="auto"/>
                <w:szCs w:val="21"/>
                <w:highlight w:val="none"/>
              </w:rPr>
              <w:t>预期性</w:t>
            </w:r>
            <w:bookmarkEnd w:id="118"/>
          </w:p>
        </w:tc>
        <w:tc>
          <w:tcPr>
            <w:tcW w:w="1717" w:type="dxa"/>
            <w:noWrap w:val="0"/>
            <w:vAlign w:val="center"/>
          </w:tcPr>
          <w:p w14:paraId="7C288B4F">
            <w:pPr>
              <w:jc w:val="center"/>
              <w:outlineLvl w:val="0"/>
              <w:rPr>
                <w:rFonts w:hint="default" w:ascii="Times New Roman" w:hAnsi="Times New Roman" w:eastAsia="宋体" w:cs="Times New Roman"/>
                <w:color w:val="auto"/>
                <w:szCs w:val="21"/>
                <w:highlight w:val="none"/>
                <w:lang w:val="en-US" w:eastAsia="zh-CN"/>
              </w:rPr>
            </w:pPr>
            <w:bookmarkStart w:id="119" w:name="_Toc4120"/>
            <w:r>
              <w:rPr>
                <w:rFonts w:hint="default" w:ascii="Times New Roman" w:hAnsi="Times New Roman" w:eastAsia="宋体" w:cs="Times New Roman"/>
                <w:color w:val="auto"/>
                <w:szCs w:val="21"/>
                <w:highlight w:val="none"/>
                <w:lang w:val="en-US" w:eastAsia="zh-CN"/>
              </w:rPr>
              <w:t>累计2家</w:t>
            </w:r>
            <w:bookmarkEnd w:id="119"/>
          </w:p>
        </w:tc>
        <w:tc>
          <w:tcPr>
            <w:tcW w:w="1601" w:type="dxa"/>
            <w:noWrap w:val="0"/>
            <w:vAlign w:val="center"/>
          </w:tcPr>
          <w:p w14:paraId="4385B24F">
            <w:pPr>
              <w:jc w:val="center"/>
              <w:outlineLvl w:val="0"/>
              <w:rPr>
                <w:rFonts w:hint="default" w:ascii="Times New Roman" w:hAnsi="Times New Roman" w:eastAsia="宋体" w:cs="Times New Roman"/>
                <w:color w:val="auto"/>
                <w:szCs w:val="21"/>
                <w:highlight w:val="none"/>
              </w:rPr>
            </w:pPr>
            <w:bookmarkStart w:id="120" w:name="_Toc24532"/>
            <w:r>
              <w:rPr>
                <w:rFonts w:hint="default" w:ascii="Times New Roman" w:hAnsi="Times New Roman" w:eastAsia="宋体" w:cs="Times New Roman"/>
                <w:color w:val="auto"/>
                <w:szCs w:val="21"/>
                <w:highlight w:val="none"/>
              </w:rPr>
              <w:t>5年新增1-2家</w:t>
            </w:r>
            <w:bookmarkEnd w:id="120"/>
          </w:p>
        </w:tc>
      </w:tr>
      <w:tr w14:paraId="5E8F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restart"/>
            <w:noWrap w:val="0"/>
            <w:vAlign w:val="center"/>
          </w:tcPr>
          <w:p w14:paraId="05EE912E">
            <w:pPr>
              <w:jc w:val="center"/>
              <w:outlineLvl w:val="0"/>
              <w:rPr>
                <w:rFonts w:hint="default" w:ascii="Times New Roman" w:hAnsi="Times New Roman" w:eastAsia="宋体" w:cs="Times New Roman"/>
                <w:color w:val="auto"/>
                <w:szCs w:val="21"/>
                <w:highlight w:val="none"/>
              </w:rPr>
            </w:pPr>
            <w:bookmarkStart w:id="121" w:name="_Toc22802"/>
            <w:r>
              <w:rPr>
                <w:rFonts w:hint="default" w:ascii="Times New Roman" w:hAnsi="Times New Roman" w:eastAsia="宋体" w:cs="Times New Roman"/>
                <w:color w:val="auto"/>
                <w:szCs w:val="21"/>
                <w:highlight w:val="none"/>
              </w:rPr>
              <w:t>绿色</w:t>
            </w:r>
            <w:r>
              <w:rPr>
                <w:rFonts w:hint="default" w:ascii="Times New Roman" w:hAnsi="Times New Roman" w:eastAsia="宋体" w:cs="Times New Roman"/>
                <w:color w:val="auto"/>
                <w:szCs w:val="21"/>
                <w:highlight w:val="none"/>
                <w:lang w:val="en-US" w:eastAsia="zh-CN"/>
              </w:rPr>
              <w:t>化</w:t>
            </w:r>
            <w:r>
              <w:rPr>
                <w:rFonts w:hint="default" w:ascii="Times New Roman" w:hAnsi="Times New Roman" w:eastAsia="宋体" w:cs="Times New Roman"/>
                <w:color w:val="auto"/>
                <w:szCs w:val="21"/>
                <w:highlight w:val="none"/>
              </w:rPr>
              <w:t>发展</w:t>
            </w:r>
            <w:bookmarkEnd w:id="121"/>
          </w:p>
        </w:tc>
        <w:tc>
          <w:tcPr>
            <w:tcW w:w="3027" w:type="dxa"/>
            <w:noWrap w:val="0"/>
            <w:vAlign w:val="center"/>
          </w:tcPr>
          <w:p w14:paraId="565618B0">
            <w:pPr>
              <w:jc w:val="center"/>
              <w:outlineLvl w:val="0"/>
              <w:rPr>
                <w:rFonts w:hint="default" w:ascii="Times New Roman" w:hAnsi="Times New Roman" w:eastAsia="宋体" w:cs="Times New Roman"/>
                <w:color w:val="auto"/>
                <w:szCs w:val="21"/>
                <w:highlight w:val="none"/>
              </w:rPr>
            </w:pPr>
            <w:bookmarkStart w:id="122" w:name="_Toc30390"/>
            <w:r>
              <w:rPr>
                <w:rFonts w:hint="default" w:ascii="Times New Roman" w:hAnsi="Times New Roman" w:eastAsia="宋体" w:cs="Times New Roman"/>
                <w:color w:val="auto"/>
                <w:szCs w:val="21"/>
                <w:highlight w:val="none"/>
              </w:rPr>
              <w:t>单位GDP能耗下降率（%）</w:t>
            </w:r>
            <w:bookmarkEnd w:id="122"/>
          </w:p>
        </w:tc>
        <w:tc>
          <w:tcPr>
            <w:tcW w:w="1347" w:type="dxa"/>
            <w:noWrap w:val="0"/>
            <w:vAlign w:val="center"/>
          </w:tcPr>
          <w:p w14:paraId="2A069AE3">
            <w:pPr>
              <w:jc w:val="center"/>
              <w:outlineLvl w:val="0"/>
              <w:rPr>
                <w:rFonts w:hint="default" w:ascii="Times New Roman" w:hAnsi="Times New Roman" w:eastAsia="宋体" w:cs="Times New Roman"/>
                <w:color w:val="auto"/>
                <w:szCs w:val="21"/>
                <w:highlight w:val="none"/>
              </w:rPr>
            </w:pPr>
            <w:bookmarkStart w:id="123" w:name="_Toc31139"/>
            <w:r>
              <w:rPr>
                <w:rFonts w:hint="default" w:ascii="Times New Roman" w:hAnsi="Times New Roman" w:eastAsia="宋体" w:cs="Times New Roman"/>
                <w:color w:val="auto"/>
                <w:szCs w:val="21"/>
                <w:highlight w:val="none"/>
              </w:rPr>
              <w:t>约束性</w:t>
            </w:r>
            <w:bookmarkEnd w:id="123"/>
          </w:p>
        </w:tc>
        <w:tc>
          <w:tcPr>
            <w:tcW w:w="1717" w:type="dxa"/>
            <w:noWrap w:val="0"/>
            <w:vAlign w:val="center"/>
          </w:tcPr>
          <w:p w14:paraId="169D9241">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比十三五期末下降23.2%</w:t>
            </w:r>
          </w:p>
        </w:tc>
        <w:tc>
          <w:tcPr>
            <w:tcW w:w="1601" w:type="dxa"/>
            <w:noWrap w:val="0"/>
            <w:vAlign w:val="center"/>
          </w:tcPr>
          <w:p w14:paraId="0F1F38D7">
            <w:pPr>
              <w:jc w:val="center"/>
              <w:outlineLvl w:val="0"/>
              <w:rPr>
                <w:rFonts w:hint="default" w:ascii="Times New Roman" w:hAnsi="Times New Roman" w:eastAsia="宋体" w:cs="Times New Roman"/>
                <w:color w:val="auto"/>
                <w:szCs w:val="21"/>
                <w:highlight w:val="none"/>
              </w:rPr>
            </w:pPr>
            <w:bookmarkStart w:id="124" w:name="_Toc13698"/>
            <w:r>
              <w:rPr>
                <w:rFonts w:hint="default" w:ascii="Times New Roman" w:hAnsi="Times New Roman" w:eastAsia="宋体" w:cs="Times New Roman"/>
                <w:color w:val="auto"/>
                <w:szCs w:val="21"/>
                <w:highlight w:val="none"/>
              </w:rPr>
              <w:t>比十四五期末下降5%</w:t>
            </w:r>
            <w:bookmarkEnd w:id="124"/>
          </w:p>
        </w:tc>
      </w:tr>
      <w:tr w14:paraId="0A8C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113FED73">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5BA41098">
            <w:pPr>
              <w:jc w:val="center"/>
              <w:outlineLvl w:val="0"/>
              <w:rPr>
                <w:rFonts w:hint="default" w:ascii="Times New Roman" w:hAnsi="Times New Roman" w:eastAsia="宋体" w:cs="Times New Roman"/>
                <w:color w:val="auto"/>
                <w:szCs w:val="21"/>
                <w:highlight w:val="none"/>
              </w:rPr>
            </w:pPr>
            <w:bookmarkStart w:id="125" w:name="_Toc27488"/>
            <w:r>
              <w:rPr>
                <w:rFonts w:hint="default" w:ascii="Times New Roman" w:hAnsi="Times New Roman" w:eastAsia="宋体" w:cs="Times New Roman"/>
                <w:color w:val="auto"/>
                <w:szCs w:val="21"/>
                <w:highlight w:val="none"/>
              </w:rPr>
              <w:t>节能改造项目</w:t>
            </w:r>
            <w:bookmarkEnd w:id="125"/>
          </w:p>
        </w:tc>
        <w:tc>
          <w:tcPr>
            <w:tcW w:w="1347" w:type="dxa"/>
            <w:noWrap w:val="0"/>
            <w:vAlign w:val="center"/>
          </w:tcPr>
          <w:p w14:paraId="4FB72186">
            <w:pPr>
              <w:jc w:val="center"/>
              <w:outlineLvl w:val="0"/>
              <w:rPr>
                <w:rFonts w:hint="default" w:ascii="Times New Roman" w:hAnsi="Times New Roman" w:eastAsia="宋体" w:cs="Times New Roman"/>
                <w:color w:val="auto"/>
                <w:szCs w:val="21"/>
                <w:highlight w:val="none"/>
              </w:rPr>
            </w:pPr>
            <w:bookmarkStart w:id="126" w:name="_Toc9990"/>
            <w:r>
              <w:rPr>
                <w:rFonts w:hint="default" w:ascii="Times New Roman" w:hAnsi="Times New Roman" w:eastAsia="宋体" w:cs="Times New Roman"/>
                <w:color w:val="auto"/>
                <w:szCs w:val="21"/>
                <w:highlight w:val="none"/>
              </w:rPr>
              <w:t>预期性</w:t>
            </w:r>
            <w:bookmarkEnd w:id="126"/>
          </w:p>
        </w:tc>
        <w:tc>
          <w:tcPr>
            <w:tcW w:w="1717" w:type="dxa"/>
            <w:noWrap w:val="0"/>
            <w:vAlign w:val="center"/>
          </w:tcPr>
          <w:p w14:paraId="79E0C815">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5年累计80个</w:t>
            </w:r>
          </w:p>
        </w:tc>
        <w:tc>
          <w:tcPr>
            <w:tcW w:w="1601" w:type="dxa"/>
            <w:noWrap w:val="0"/>
            <w:vAlign w:val="center"/>
          </w:tcPr>
          <w:p w14:paraId="7651E4F2">
            <w:pPr>
              <w:jc w:val="center"/>
              <w:outlineLvl w:val="0"/>
              <w:rPr>
                <w:rFonts w:hint="default" w:ascii="Times New Roman" w:hAnsi="Times New Roman" w:eastAsia="宋体" w:cs="Times New Roman"/>
                <w:color w:val="auto"/>
                <w:szCs w:val="21"/>
                <w:highlight w:val="none"/>
              </w:rPr>
            </w:pPr>
            <w:bookmarkStart w:id="127" w:name="_Toc20292"/>
            <w:r>
              <w:rPr>
                <w:rFonts w:hint="default" w:ascii="Times New Roman" w:hAnsi="Times New Roman" w:eastAsia="宋体" w:cs="Times New Roman"/>
                <w:color w:val="auto"/>
                <w:szCs w:val="21"/>
                <w:highlight w:val="none"/>
              </w:rPr>
              <w:t>5年累计实施100个</w:t>
            </w:r>
            <w:bookmarkEnd w:id="127"/>
          </w:p>
        </w:tc>
      </w:tr>
      <w:tr w14:paraId="4DD1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4D224E5D">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46C5DE1E">
            <w:pPr>
              <w:jc w:val="center"/>
              <w:outlineLvl w:val="0"/>
              <w:rPr>
                <w:rFonts w:hint="default" w:ascii="Times New Roman" w:hAnsi="Times New Roman" w:eastAsia="宋体" w:cs="Times New Roman"/>
                <w:color w:val="auto"/>
                <w:szCs w:val="21"/>
                <w:highlight w:val="none"/>
              </w:rPr>
            </w:pPr>
            <w:bookmarkStart w:id="128" w:name="_Toc11306"/>
            <w:r>
              <w:rPr>
                <w:rFonts w:hint="default" w:ascii="Times New Roman" w:hAnsi="Times New Roman" w:eastAsia="宋体" w:cs="Times New Roman"/>
                <w:color w:val="auto"/>
                <w:szCs w:val="21"/>
                <w:highlight w:val="none"/>
              </w:rPr>
              <w:t>国家级绿色工厂（家）</w:t>
            </w:r>
            <w:bookmarkEnd w:id="128"/>
          </w:p>
        </w:tc>
        <w:tc>
          <w:tcPr>
            <w:tcW w:w="1347" w:type="dxa"/>
            <w:noWrap w:val="0"/>
            <w:vAlign w:val="center"/>
          </w:tcPr>
          <w:p w14:paraId="451CE1B9">
            <w:pPr>
              <w:jc w:val="center"/>
              <w:outlineLvl w:val="0"/>
              <w:rPr>
                <w:rFonts w:hint="default" w:ascii="Times New Roman" w:hAnsi="Times New Roman" w:eastAsia="宋体" w:cs="Times New Roman"/>
                <w:color w:val="auto"/>
                <w:szCs w:val="21"/>
                <w:highlight w:val="none"/>
              </w:rPr>
            </w:pPr>
            <w:bookmarkStart w:id="129" w:name="_Toc7943"/>
            <w:r>
              <w:rPr>
                <w:rFonts w:hint="default" w:ascii="Times New Roman" w:hAnsi="Times New Roman" w:eastAsia="宋体" w:cs="Times New Roman"/>
                <w:color w:val="auto"/>
                <w:szCs w:val="21"/>
                <w:highlight w:val="none"/>
              </w:rPr>
              <w:t>预期性</w:t>
            </w:r>
            <w:bookmarkEnd w:id="129"/>
          </w:p>
        </w:tc>
        <w:tc>
          <w:tcPr>
            <w:tcW w:w="1717" w:type="dxa"/>
            <w:noWrap w:val="0"/>
            <w:vAlign w:val="center"/>
          </w:tcPr>
          <w:p w14:paraId="3EE69E28">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累计11</w:t>
            </w:r>
            <w:r>
              <w:rPr>
                <w:rFonts w:hint="default" w:ascii="Times New Roman" w:hAnsi="Times New Roman" w:cs="Times New Roman"/>
                <w:color w:val="auto"/>
                <w:szCs w:val="21"/>
                <w:highlight w:val="none"/>
                <w:lang w:val="en-US" w:eastAsia="zh-CN"/>
              </w:rPr>
              <w:t>家</w:t>
            </w:r>
          </w:p>
        </w:tc>
        <w:tc>
          <w:tcPr>
            <w:tcW w:w="1601" w:type="dxa"/>
            <w:noWrap w:val="0"/>
            <w:vAlign w:val="center"/>
          </w:tcPr>
          <w:p w14:paraId="1316499D">
            <w:pPr>
              <w:jc w:val="center"/>
              <w:outlineLvl w:val="0"/>
              <w:rPr>
                <w:rFonts w:hint="default" w:ascii="Times New Roman" w:hAnsi="Times New Roman" w:eastAsia="宋体" w:cs="Times New Roman"/>
                <w:color w:val="auto"/>
                <w:szCs w:val="21"/>
                <w:highlight w:val="none"/>
              </w:rPr>
            </w:pPr>
            <w:bookmarkStart w:id="130" w:name="_Toc19055"/>
            <w:r>
              <w:rPr>
                <w:rFonts w:hint="default" w:ascii="Times New Roman" w:hAnsi="Times New Roman" w:eastAsia="宋体" w:cs="Times New Roman"/>
                <w:color w:val="auto"/>
                <w:szCs w:val="21"/>
                <w:highlight w:val="none"/>
              </w:rPr>
              <w:t>5年新增5家</w:t>
            </w:r>
            <w:bookmarkEnd w:id="130"/>
          </w:p>
        </w:tc>
      </w:tr>
      <w:tr w14:paraId="6B49F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507CE863">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2ADC1246">
            <w:pPr>
              <w:jc w:val="center"/>
              <w:outlineLvl w:val="0"/>
              <w:rPr>
                <w:rFonts w:hint="default" w:ascii="Times New Roman" w:hAnsi="Times New Roman" w:eastAsia="宋体" w:cs="Times New Roman"/>
                <w:color w:val="auto"/>
                <w:szCs w:val="21"/>
                <w:highlight w:val="none"/>
              </w:rPr>
            </w:pPr>
            <w:bookmarkStart w:id="131" w:name="_Toc6700"/>
            <w:r>
              <w:rPr>
                <w:rFonts w:hint="default" w:ascii="Times New Roman" w:hAnsi="Times New Roman" w:eastAsia="宋体" w:cs="Times New Roman"/>
                <w:color w:val="auto"/>
                <w:szCs w:val="21"/>
                <w:highlight w:val="none"/>
              </w:rPr>
              <w:t>省级绿色工厂（家）</w:t>
            </w:r>
            <w:bookmarkEnd w:id="131"/>
          </w:p>
        </w:tc>
        <w:tc>
          <w:tcPr>
            <w:tcW w:w="1347" w:type="dxa"/>
            <w:noWrap w:val="0"/>
            <w:vAlign w:val="center"/>
          </w:tcPr>
          <w:p w14:paraId="73158598">
            <w:pPr>
              <w:jc w:val="center"/>
              <w:outlineLvl w:val="0"/>
              <w:rPr>
                <w:rFonts w:hint="default" w:ascii="Times New Roman" w:hAnsi="Times New Roman" w:eastAsia="宋体" w:cs="Times New Roman"/>
                <w:color w:val="auto"/>
                <w:szCs w:val="21"/>
                <w:highlight w:val="none"/>
              </w:rPr>
            </w:pPr>
            <w:bookmarkStart w:id="132" w:name="_Toc23369"/>
            <w:r>
              <w:rPr>
                <w:rFonts w:hint="default" w:ascii="Times New Roman" w:hAnsi="Times New Roman" w:eastAsia="宋体" w:cs="Times New Roman"/>
                <w:color w:val="auto"/>
                <w:szCs w:val="21"/>
                <w:highlight w:val="none"/>
              </w:rPr>
              <w:t>预期性</w:t>
            </w:r>
            <w:bookmarkEnd w:id="132"/>
          </w:p>
        </w:tc>
        <w:tc>
          <w:tcPr>
            <w:tcW w:w="1717" w:type="dxa"/>
            <w:noWrap w:val="0"/>
            <w:vAlign w:val="center"/>
          </w:tcPr>
          <w:p w14:paraId="5CF39C6D">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累计53</w:t>
            </w:r>
            <w:r>
              <w:rPr>
                <w:rFonts w:hint="default" w:ascii="Times New Roman" w:hAnsi="Times New Roman" w:cs="Times New Roman"/>
                <w:color w:val="auto"/>
                <w:szCs w:val="21"/>
                <w:highlight w:val="none"/>
                <w:lang w:val="en-US" w:eastAsia="zh-CN"/>
              </w:rPr>
              <w:t>家</w:t>
            </w:r>
          </w:p>
        </w:tc>
        <w:tc>
          <w:tcPr>
            <w:tcW w:w="1601" w:type="dxa"/>
            <w:noWrap w:val="0"/>
            <w:vAlign w:val="center"/>
          </w:tcPr>
          <w:p w14:paraId="2D80FE20">
            <w:pPr>
              <w:jc w:val="center"/>
              <w:outlineLvl w:val="0"/>
              <w:rPr>
                <w:rFonts w:hint="default" w:ascii="Times New Roman" w:hAnsi="Times New Roman" w:eastAsia="宋体" w:cs="Times New Roman"/>
                <w:color w:val="auto"/>
                <w:szCs w:val="21"/>
                <w:highlight w:val="none"/>
              </w:rPr>
            </w:pPr>
            <w:bookmarkStart w:id="133" w:name="_Toc21606"/>
            <w:r>
              <w:rPr>
                <w:rFonts w:hint="default" w:ascii="Times New Roman" w:hAnsi="Times New Roman" w:eastAsia="宋体" w:cs="Times New Roman"/>
                <w:color w:val="auto"/>
                <w:szCs w:val="21"/>
                <w:highlight w:val="none"/>
              </w:rPr>
              <w:t>5年新增25家</w:t>
            </w:r>
            <w:bookmarkEnd w:id="133"/>
          </w:p>
        </w:tc>
      </w:tr>
      <w:tr w14:paraId="5E15F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0BE5828D">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1729DA04">
            <w:pPr>
              <w:jc w:val="center"/>
              <w:outlineLvl w:val="0"/>
              <w:rPr>
                <w:rFonts w:hint="default" w:ascii="Times New Roman" w:hAnsi="Times New Roman" w:eastAsia="宋体" w:cs="Times New Roman"/>
                <w:color w:val="auto"/>
                <w:szCs w:val="21"/>
                <w:highlight w:val="none"/>
              </w:rPr>
            </w:pPr>
            <w:bookmarkStart w:id="134" w:name="_Toc2919"/>
            <w:r>
              <w:rPr>
                <w:rFonts w:hint="default" w:ascii="Times New Roman" w:hAnsi="Times New Roman" w:eastAsia="宋体" w:cs="Times New Roman"/>
                <w:color w:val="auto"/>
                <w:szCs w:val="21"/>
                <w:highlight w:val="none"/>
              </w:rPr>
              <w:t>认证（近）零碳工厂</w:t>
            </w:r>
            <w:r>
              <w:rPr>
                <w:rFonts w:hint="default" w:ascii="Times New Roman" w:hAnsi="Times New Roman" w:eastAsia="宋体" w:cs="Times New Roman"/>
                <w:color w:val="auto"/>
                <w:szCs w:val="21"/>
                <w:highlight w:val="none"/>
                <w:lang w:eastAsia="zh-CN"/>
              </w:rPr>
              <w:t>、园区</w:t>
            </w:r>
            <w:r>
              <w:rPr>
                <w:rFonts w:hint="default" w:ascii="Times New Roman" w:hAnsi="Times New Roman" w:eastAsia="宋体" w:cs="Times New Roman"/>
                <w:color w:val="auto"/>
                <w:szCs w:val="21"/>
                <w:highlight w:val="none"/>
              </w:rPr>
              <w:t>（家）</w:t>
            </w:r>
            <w:bookmarkEnd w:id="134"/>
          </w:p>
        </w:tc>
        <w:tc>
          <w:tcPr>
            <w:tcW w:w="1347" w:type="dxa"/>
            <w:noWrap w:val="0"/>
            <w:vAlign w:val="center"/>
          </w:tcPr>
          <w:p w14:paraId="1EC250A1">
            <w:pPr>
              <w:jc w:val="center"/>
              <w:outlineLvl w:val="0"/>
              <w:rPr>
                <w:rFonts w:hint="default" w:ascii="Times New Roman" w:hAnsi="Times New Roman" w:eastAsia="宋体" w:cs="Times New Roman"/>
                <w:color w:val="auto"/>
                <w:szCs w:val="21"/>
                <w:highlight w:val="none"/>
              </w:rPr>
            </w:pPr>
            <w:bookmarkStart w:id="135" w:name="_Toc14407"/>
            <w:r>
              <w:rPr>
                <w:rFonts w:hint="default" w:ascii="Times New Roman" w:hAnsi="Times New Roman" w:eastAsia="宋体" w:cs="Times New Roman"/>
                <w:color w:val="auto"/>
                <w:szCs w:val="21"/>
                <w:highlight w:val="none"/>
              </w:rPr>
              <w:t>预期性</w:t>
            </w:r>
            <w:bookmarkEnd w:id="135"/>
          </w:p>
        </w:tc>
        <w:tc>
          <w:tcPr>
            <w:tcW w:w="1717" w:type="dxa"/>
            <w:noWrap w:val="0"/>
            <w:vAlign w:val="center"/>
          </w:tcPr>
          <w:p w14:paraId="7986E616">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w:t>
            </w:r>
          </w:p>
        </w:tc>
        <w:tc>
          <w:tcPr>
            <w:tcW w:w="1601" w:type="dxa"/>
            <w:noWrap w:val="0"/>
            <w:vAlign w:val="center"/>
          </w:tcPr>
          <w:p w14:paraId="5595A886">
            <w:pPr>
              <w:jc w:val="center"/>
              <w:outlineLvl w:val="0"/>
              <w:rPr>
                <w:rFonts w:hint="default" w:ascii="Times New Roman" w:hAnsi="Times New Roman" w:eastAsia="宋体" w:cs="Times New Roman"/>
                <w:color w:val="auto"/>
                <w:szCs w:val="21"/>
                <w:highlight w:val="none"/>
              </w:rPr>
            </w:pPr>
            <w:bookmarkStart w:id="136" w:name="_Toc20780"/>
            <w:r>
              <w:rPr>
                <w:rFonts w:hint="default" w:ascii="Times New Roman" w:hAnsi="Times New Roman" w:eastAsia="宋体" w:cs="Times New Roman"/>
                <w:color w:val="auto"/>
                <w:szCs w:val="21"/>
                <w:highlight w:val="none"/>
              </w:rPr>
              <w:t>5年新增</w:t>
            </w:r>
            <w:r>
              <w:rPr>
                <w:rFonts w:hint="default"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rPr>
              <w:t>家</w:t>
            </w:r>
            <w:bookmarkEnd w:id="136"/>
          </w:p>
        </w:tc>
      </w:tr>
      <w:tr w14:paraId="1FE2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restart"/>
            <w:noWrap w:val="0"/>
            <w:vAlign w:val="center"/>
          </w:tcPr>
          <w:p w14:paraId="64BC3723">
            <w:pPr>
              <w:jc w:val="center"/>
              <w:outlineLvl w:val="0"/>
              <w:rPr>
                <w:rFonts w:hint="default" w:ascii="Times New Roman" w:hAnsi="Times New Roman" w:eastAsia="宋体" w:cs="Times New Roman"/>
                <w:color w:val="auto"/>
                <w:szCs w:val="21"/>
                <w:highlight w:val="none"/>
              </w:rPr>
            </w:pPr>
            <w:bookmarkStart w:id="137" w:name="_Toc10333"/>
            <w:r>
              <w:rPr>
                <w:rFonts w:hint="default" w:ascii="Times New Roman" w:hAnsi="Times New Roman" w:eastAsia="宋体" w:cs="Times New Roman"/>
                <w:color w:val="auto"/>
                <w:szCs w:val="21"/>
                <w:highlight w:val="none"/>
              </w:rPr>
              <w:t>培大育强</w:t>
            </w:r>
            <w:bookmarkEnd w:id="137"/>
          </w:p>
        </w:tc>
        <w:tc>
          <w:tcPr>
            <w:tcW w:w="3027" w:type="dxa"/>
            <w:noWrap w:val="0"/>
            <w:vAlign w:val="center"/>
          </w:tcPr>
          <w:p w14:paraId="3591B429">
            <w:pPr>
              <w:jc w:val="center"/>
              <w:outlineLvl w:val="0"/>
              <w:rPr>
                <w:rFonts w:hint="default" w:ascii="Times New Roman" w:hAnsi="Times New Roman" w:eastAsia="宋体" w:cs="Times New Roman"/>
                <w:color w:val="auto"/>
                <w:szCs w:val="21"/>
                <w:highlight w:val="none"/>
              </w:rPr>
            </w:pPr>
            <w:bookmarkStart w:id="138" w:name="_Toc31708"/>
            <w:r>
              <w:rPr>
                <w:rFonts w:hint="default" w:ascii="Times New Roman" w:hAnsi="Times New Roman" w:eastAsia="宋体" w:cs="Times New Roman"/>
                <w:color w:val="auto"/>
                <w:szCs w:val="21"/>
                <w:highlight w:val="none"/>
              </w:rPr>
              <w:t>百亿元企业（家）</w:t>
            </w:r>
            <w:bookmarkEnd w:id="138"/>
          </w:p>
        </w:tc>
        <w:tc>
          <w:tcPr>
            <w:tcW w:w="1347" w:type="dxa"/>
            <w:noWrap w:val="0"/>
            <w:vAlign w:val="center"/>
          </w:tcPr>
          <w:p w14:paraId="021004CD">
            <w:pPr>
              <w:jc w:val="center"/>
              <w:outlineLvl w:val="0"/>
              <w:rPr>
                <w:rFonts w:hint="default" w:ascii="Times New Roman" w:hAnsi="Times New Roman" w:eastAsia="宋体" w:cs="Times New Roman"/>
                <w:color w:val="auto"/>
                <w:szCs w:val="21"/>
                <w:highlight w:val="none"/>
              </w:rPr>
            </w:pPr>
            <w:bookmarkStart w:id="139" w:name="_Toc31261"/>
            <w:r>
              <w:rPr>
                <w:rFonts w:hint="default" w:ascii="Times New Roman" w:hAnsi="Times New Roman" w:eastAsia="宋体" w:cs="Times New Roman"/>
                <w:color w:val="auto"/>
                <w:szCs w:val="21"/>
                <w:highlight w:val="none"/>
              </w:rPr>
              <w:t>预期性</w:t>
            </w:r>
            <w:bookmarkEnd w:id="139"/>
          </w:p>
        </w:tc>
        <w:tc>
          <w:tcPr>
            <w:tcW w:w="1717" w:type="dxa"/>
            <w:noWrap w:val="0"/>
            <w:vAlign w:val="center"/>
          </w:tcPr>
          <w:p w14:paraId="610641EA">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0</w:t>
            </w:r>
          </w:p>
        </w:tc>
        <w:tc>
          <w:tcPr>
            <w:tcW w:w="1601" w:type="dxa"/>
            <w:noWrap w:val="0"/>
            <w:vAlign w:val="center"/>
          </w:tcPr>
          <w:p w14:paraId="2B08160D">
            <w:pPr>
              <w:jc w:val="center"/>
              <w:outlineLvl w:val="0"/>
              <w:rPr>
                <w:rFonts w:hint="default" w:ascii="Times New Roman" w:hAnsi="Times New Roman" w:eastAsia="宋体" w:cs="Times New Roman"/>
                <w:color w:val="auto"/>
                <w:szCs w:val="21"/>
                <w:highlight w:val="none"/>
                <w:lang w:eastAsia="zh-CN"/>
              </w:rPr>
            </w:pPr>
            <w:bookmarkStart w:id="140" w:name="_Toc18766"/>
            <w:r>
              <w:rPr>
                <w:rFonts w:hint="default" w:ascii="Times New Roman" w:hAnsi="Times New Roman" w:eastAsia="宋体" w:cs="Times New Roman"/>
                <w:color w:val="auto"/>
                <w:szCs w:val="21"/>
                <w:highlight w:val="none"/>
              </w:rPr>
              <w:t>1</w:t>
            </w:r>
            <w:bookmarkEnd w:id="140"/>
            <w:r>
              <w:rPr>
                <w:rFonts w:hint="default" w:ascii="Times New Roman" w:hAnsi="Times New Roman" w:eastAsia="宋体" w:cs="Times New Roman"/>
                <w:color w:val="auto"/>
                <w:szCs w:val="21"/>
                <w:highlight w:val="none"/>
                <w:lang w:eastAsia="zh-CN"/>
              </w:rPr>
              <w:t>家</w:t>
            </w:r>
          </w:p>
        </w:tc>
      </w:tr>
      <w:tr w14:paraId="2243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2297156F">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42295531">
            <w:pPr>
              <w:jc w:val="center"/>
              <w:outlineLvl w:val="0"/>
              <w:rPr>
                <w:rFonts w:hint="default" w:ascii="Times New Roman" w:hAnsi="Times New Roman" w:eastAsia="宋体" w:cs="Times New Roman"/>
                <w:color w:val="auto"/>
                <w:szCs w:val="21"/>
                <w:highlight w:val="none"/>
              </w:rPr>
            </w:pPr>
            <w:bookmarkStart w:id="141" w:name="_Toc8531"/>
            <w:r>
              <w:rPr>
                <w:rFonts w:hint="default" w:ascii="Times New Roman" w:hAnsi="Times New Roman" w:eastAsia="宋体" w:cs="Times New Roman"/>
                <w:color w:val="auto"/>
                <w:szCs w:val="21"/>
                <w:highlight w:val="none"/>
              </w:rPr>
              <w:t>50-100亿元企业（家）</w:t>
            </w:r>
            <w:bookmarkEnd w:id="141"/>
          </w:p>
        </w:tc>
        <w:tc>
          <w:tcPr>
            <w:tcW w:w="1347" w:type="dxa"/>
            <w:noWrap w:val="0"/>
            <w:vAlign w:val="center"/>
          </w:tcPr>
          <w:p w14:paraId="5C307582">
            <w:pPr>
              <w:jc w:val="center"/>
              <w:outlineLvl w:val="0"/>
              <w:rPr>
                <w:rFonts w:hint="default" w:ascii="Times New Roman" w:hAnsi="Times New Roman" w:eastAsia="宋体" w:cs="Times New Roman"/>
                <w:color w:val="auto"/>
                <w:szCs w:val="21"/>
                <w:highlight w:val="none"/>
              </w:rPr>
            </w:pPr>
            <w:bookmarkStart w:id="142" w:name="_Toc7718"/>
            <w:r>
              <w:rPr>
                <w:rFonts w:hint="default" w:ascii="Times New Roman" w:hAnsi="Times New Roman" w:eastAsia="宋体" w:cs="Times New Roman"/>
                <w:color w:val="auto"/>
                <w:szCs w:val="21"/>
                <w:highlight w:val="none"/>
              </w:rPr>
              <w:t>预期性</w:t>
            </w:r>
            <w:bookmarkEnd w:id="142"/>
          </w:p>
        </w:tc>
        <w:tc>
          <w:tcPr>
            <w:tcW w:w="1717" w:type="dxa"/>
            <w:noWrap w:val="0"/>
            <w:vAlign w:val="center"/>
          </w:tcPr>
          <w:p w14:paraId="6F9DF638">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w:t>
            </w:r>
            <w:r>
              <w:rPr>
                <w:rFonts w:hint="default" w:ascii="Times New Roman" w:hAnsi="Times New Roman" w:cs="Times New Roman"/>
                <w:color w:val="auto"/>
                <w:szCs w:val="21"/>
                <w:highlight w:val="none"/>
                <w:lang w:val="en-US" w:eastAsia="zh-CN"/>
              </w:rPr>
              <w:t>家</w:t>
            </w:r>
          </w:p>
        </w:tc>
        <w:tc>
          <w:tcPr>
            <w:tcW w:w="1601" w:type="dxa"/>
            <w:noWrap w:val="0"/>
            <w:vAlign w:val="center"/>
          </w:tcPr>
          <w:p w14:paraId="6BC9314B">
            <w:pPr>
              <w:jc w:val="center"/>
              <w:outlineLvl w:val="0"/>
              <w:rPr>
                <w:rFonts w:hint="default" w:ascii="Times New Roman" w:hAnsi="Times New Roman" w:eastAsia="宋体" w:cs="Times New Roman"/>
                <w:color w:val="auto"/>
                <w:szCs w:val="21"/>
                <w:highlight w:val="none"/>
                <w:lang w:eastAsia="zh-CN"/>
              </w:rPr>
            </w:pPr>
            <w:bookmarkStart w:id="143" w:name="_Toc22518"/>
            <w:r>
              <w:rPr>
                <w:rFonts w:hint="default" w:ascii="Times New Roman" w:hAnsi="Times New Roman" w:eastAsia="宋体" w:cs="Times New Roman"/>
                <w:color w:val="auto"/>
                <w:szCs w:val="21"/>
                <w:highlight w:val="none"/>
              </w:rPr>
              <w:t>1</w:t>
            </w:r>
            <w:bookmarkEnd w:id="143"/>
            <w:r>
              <w:rPr>
                <w:rFonts w:hint="default" w:ascii="Times New Roman" w:hAnsi="Times New Roman" w:eastAsia="宋体" w:cs="Times New Roman"/>
                <w:color w:val="auto"/>
                <w:szCs w:val="21"/>
                <w:highlight w:val="none"/>
                <w:lang w:eastAsia="zh-CN"/>
              </w:rPr>
              <w:t>家</w:t>
            </w:r>
          </w:p>
        </w:tc>
      </w:tr>
      <w:tr w14:paraId="40C5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53DC8498">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066DB3ED">
            <w:pPr>
              <w:jc w:val="center"/>
              <w:outlineLvl w:val="0"/>
              <w:rPr>
                <w:rFonts w:hint="default" w:ascii="Times New Roman" w:hAnsi="Times New Roman" w:eastAsia="宋体" w:cs="Times New Roman"/>
                <w:color w:val="auto"/>
                <w:szCs w:val="21"/>
                <w:highlight w:val="none"/>
              </w:rPr>
            </w:pPr>
            <w:bookmarkStart w:id="144" w:name="_Toc7393"/>
            <w:r>
              <w:rPr>
                <w:rFonts w:hint="default" w:ascii="Times New Roman" w:hAnsi="Times New Roman" w:eastAsia="宋体" w:cs="Times New Roman"/>
                <w:color w:val="auto"/>
                <w:szCs w:val="21"/>
                <w:highlight w:val="none"/>
              </w:rPr>
              <w:t>20-50亿元企业（家）</w:t>
            </w:r>
            <w:bookmarkEnd w:id="144"/>
          </w:p>
        </w:tc>
        <w:tc>
          <w:tcPr>
            <w:tcW w:w="1347" w:type="dxa"/>
            <w:noWrap w:val="0"/>
            <w:vAlign w:val="center"/>
          </w:tcPr>
          <w:p w14:paraId="6FE7F8D5">
            <w:pPr>
              <w:jc w:val="center"/>
              <w:outlineLvl w:val="0"/>
              <w:rPr>
                <w:rFonts w:hint="default" w:ascii="Times New Roman" w:hAnsi="Times New Roman" w:eastAsia="宋体" w:cs="Times New Roman"/>
                <w:color w:val="auto"/>
                <w:szCs w:val="21"/>
                <w:highlight w:val="none"/>
              </w:rPr>
            </w:pPr>
            <w:bookmarkStart w:id="145" w:name="_Toc11646"/>
            <w:r>
              <w:rPr>
                <w:rFonts w:hint="default" w:ascii="Times New Roman" w:hAnsi="Times New Roman" w:eastAsia="宋体" w:cs="Times New Roman"/>
                <w:color w:val="auto"/>
                <w:szCs w:val="21"/>
                <w:highlight w:val="none"/>
              </w:rPr>
              <w:t>预期性</w:t>
            </w:r>
            <w:bookmarkEnd w:id="145"/>
          </w:p>
        </w:tc>
        <w:tc>
          <w:tcPr>
            <w:tcW w:w="1717" w:type="dxa"/>
            <w:noWrap w:val="0"/>
            <w:vAlign w:val="center"/>
          </w:tcPr>
          <w:p w14:paraId="0E835BF8">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3</w:t>
            </w:r>
            <w:r>
              <w:rPr>
                <w:rFonts w:hint="default" w:ascii="Times New Roman" w:hAnsi="Times New Roman" w:cs="Times New Roman"/>
                <w:color w:val="auto"/>
                <w:szCs w:val="21"/>
                <w:highlight w:val="none"/>
                <w:lang w:val="en-US" w:eastAsia="zh-CN"/>
              </w:rPr>
              <w:t>家</w:t>
            </w:r>
          </w:p>
        </w:tc>
        <w:tc>
          <w:tcPr>
            <w:tcW w:w="1601" w:type="dxa"/>
            <w:noWrap w:val="0"/>
            <w:vAlign w:val="center"/>
          </w:tcPr>
          <w:p w14:paraId="308C8DC7">
            <w:pPr>
              <w:jc w:val="center"/>
              <w:outlineLvl w:val="0"/>
              <w:rPr>
                <w:rFonts w:hint="default" w:ascii="Times New Roman" w:hAnsi="Times New Roman" w:eastAsia="宋体" w:cs="Times New Roman"/>
                <w:color w:val="auto"/>
                <w:szCs w:val="21"/>
                <w:highlight w:val="none"/>
                <w:lang w:eastAsia="zh-CN"/>
              </w:rPr>
            </w:pPr>
            <w:bookmarkStart w:id="146" w:name="_Toc31290"/>
            <w:r>
              <w:rPr>
                <w:rFonts w:hint="default" w:ascii="Times New Roman" w:hAnsi="Times New Roman" w:eastAsia="宋体" w:cs="Times New Roman"/>
                <w:color w:val="auto"/>
                <w:szCs w:val="21"/>
                <w:highlight w:val="none"/>
              </w:rPr>
              <w:t>5</w:t>
            </w:r>
            <w:bookmarkEnd w:id="146"/>
            <w:r>
              <w:rPr>
                <w:rFonts w:hint="default" w:ascii="Times New Roman" w:hAnsi="Times New Roman" w:eastAsia="宋体" w:cs="Times New Roman"/>
                <w:color w:val="auto"/>
                <w:szCs w:val="21"/>
                <w:highlight w:val="none"/>
                <w:lang w:eastAsia="zh-CN"/>
              </w:rPr>
              <w:t>家</w:t>
            </w:r>
          </w:p>
        </w:tc>
      </w:tr>
      <w:tr w14:paraId="16CD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5E02BD80">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6726FDB3">
            <w:pPr>
              <w:jc w:val="center"/>
              <w:outlineLvl w:val="0"/>
              <w:rPr>
                <w:rFonts w:hint="default" w:ascii="Times New Roman" w:hAnsi="Times New Roman" w:eastAsia="宋体" w:cs="Times New Roman"/>
                <w:color w:val="auto"/>
                <w:szCs w:val="21"/>
                <w:highlight w:val="none"/>
              </w:rPr>
            </w:pPr>
            <w:bookmarkStart w:id="147" w:name="_Toc577"/>
            <w:r>
              <w:rPr>
                <w:rFonts w:hint="default" w:ascii="Times New Roman" w:hAnsi="Times New Roman" w:eastAsia="宋体" w:cs="Times New Roman"/>
                <w:color w:val="auto"/>
                <w:szCs w:val="21"/>
                <w:highlight w:val="none"/>
              </w:rPr>
              <w:t>开票亿元以上企业（家）</w:t>
            </w:r>
            <w:bookmarkEnd w:id="147"/>
          </w:p>
        </w:tc>
        <w:tc>
          <w:tcPr>
            <w:tcW w:w="1347" w:type="dxa"/>
            <w:noWrap w:val="0"/>
            <w:vAlign w:val="center"/>
          </w:tcPr>
          <w:p w14:paraId="5177CE8A">
            <w:pPr>
              <w:jc w:val="center"/>
              <w:outlineLvl w:val="0"/>
              <w:rPr>
                <w:rFonts w:hint="default" w:ascii="Times New Roman" w:hAnsi="Times New Roman" w:eastAsia="宋体" w:cs="Times New Roman"/>
                <w:color w:val="auto"/>
                <w:szCs w:val="21"/>
                <w:highlight w:val="none"/>
              </w:rPr>
            </w:pPr>
            <w:bookmarkStart w:id="148" w:name="_Toc8619"/>
            <w:r>
              <w:rPr>
                <w:rFonts w:hint="default" w:ascii="Times New Roman" w:hAnsi="Times New Roman" w:eastAsia="宋体" w:cs="Times New Roman"/>
                <w:color w:val="auto"/>
                <w:szCs w:val="21"/>
                <w:highlight w:val="none"/>
              </w:rPr>
              <w:t>预期性</w:t>
            </w:r>
            <w:bookmarkEnd w:id="148"/>
          </w:p>
        </w:tc>
        <w:tc>
          <w:tcPr>
            <w:tcW w:w="1717" w:type="dxa"/>
            <w:noWrap w:val="0"/>
            <w:vAlign w:val="center"/>
          </w:tcPr>
          <w:p w14:paraId="1C340EAE">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150</w:t>
            </w:r>
            <w:r>
              <w:rPr>
                <w:rFonts w:hint="default" w:ascii="Times New Roman" w:hAnsi="Times New Roman" w:cs="Times New Roman"/>
                <w:color w:val="auto"/>
                <w:szCs w:val="21"/>
                <w:highlight w:val="none"/>
                <w:lang w:val="en-US" w:eastAsia="zh-CN"/>
              </w:rPr>
              <w:t>家</w:t>
            </w:r>
          </w:p>
        </w:tc>
        <w:tc>
          <w:tcPr>
            <w:tcW w:w="1601" w:type="dxa"/>
            <w:noWrap w:val="0"/>
            <w:vAlign w:val="center"/>
          </w:tcPr>
          <w:p w14:paraId="2333111F">
            <w:pPr>
              <w:jc w:val="center"/>
              <w:outlineLvl w:val="0"/>
              <w:rPr>
                <w:rFonts w:hint="default" w:ascii="Times New Roman" w:hAnsi="Times New Roman" w:eastAsia="宋体" w:cs="Times New Roman"/>
                <w:color w:val="auto"/>
                <w:szCs w:val="21"/>
                <w:highlight w:val="none"/>
                <w:lang w:eastAsia="zh-CN"/>
              </w:rPr>
            </w:pPr>
            <w:bookmarkStart w:id="149" w:name="_Toc22110"/>
            <w:r>
              <w:rPr>
                <w:rFonts w:hint="default" w:ascii="Times New Roman" w:hAnsi="Times New Roman" w:eastAsia="宋体" w:cs="Times New Roman"/>
                <w:color w:val="auto"/>
                <w:szCs w:val="21"/>
                <w:highlight w:val="none"/>
              </w:rPr>
              <w:t>180</w:t>
            </w:r>
            <w:bookmarkEnd w:id="149"/>
            <w:r>
              <w:rPr>
                <w:rFonts w:hint="default" w:ascii="Times New Roman" w:hAnsi="Times New Roman" w:eastAsia="宋体" w:cs="Times New Roman"/>
                <w:color w:val="auto"/>
                <w:szCs w:val="21"/>
                <w:highlight w:val="none"/>
                <w:lang w:eastAsia="zh-CN"/>
              </w:rPr>
              <w:t>家</w:t>
            </w:r>
          </w:p>
        </w:tc>
      </w:tr>
      <w:tr w14:paraId="04962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5C25E153">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73694315">
            <w:pPr>
              <w:jc w:val="center"/>
              <w:outlineLvl w:val="0"/>
              <w:rPr>
                <w:rFonts w:hint="default" w:ascii="Times New Roman" w:hAnsi="Times New Roman" w:eastAsia="宋体" w:cs="Times New Roman"/>
                <w:color w:val="auto"/>
                <w:szCs w:val="21"/>
                <w:highlight w:val="none"/>
              </w:rPr>
            </w:pPr>
            <w:bookmarkStart w:id="150" w:name="_Toc4896"/>
            <w:r>
              <w:rPr>
                <w:rFonts w:hint="default" w:ascii="Times New Roman" w:hAnsi="Times New Roman" w:eastAsia="宋体" w:cs="Times New Roman"/>
                <w:color w:val="auto"/>
                <w:szCs w:val="21"/>
                <w:highlight w:val="none"/>
                <w:lang w:eastAsia="zh-CN"/>
              </w:rPr>
              <w:t>新增</w:t>
            </w:r>
            <w:r>
              <w:rPr>
                <w:rFonts w:hint="default" w:ascii="Times New Roman" w:hAnsi="Times New Roman" w:eastAsia="宋体" w:cs="Times New Roman"/>
                <w:color w:val="auto"/>
                <w:szCs w:val="21"/>
                <w:highlight w:val="none"/>
              </w:rPr>
              <w:t>规上企业（家）</w:t>
            </w:r>
            <w:bookmarkEnd w:id="150"/>
          </w:p>
        </w:tc>
        <w:tc>
          <w:tcPr>
            <w:tcW w:w="1347" w:type="dxa"/>
            <w:noWrap w:val="0"/>
            <w:vAlign w:val="center"/>
          </w:tcPr>
          <w:p w14:paraId="6DBB0A99">
            <w:pPr>
              <w:jc w:val="center"/>
              <w:outlineLvl w:val="0"/>
              <w:rPr>
                <w:rFonts w:hint="default" w:ascii="Times New Roman" w:hAnsi="Times New Roman" w:eastAsia="宋体" w:cs="Times New Roman"/>
                <w:color w:val="auto"/>
                <w:szCs w:val="21"/>
                <w:highlight w:val="none"/>
              </w:rPr>
            </w:pPr>
            <w:bookmarkStart w:id="151" w:name="_Toc20790"/>
            <w:r>
              <w:rPr>
                <w:rFonts w:hint="default" w:ascii="Times New Roman" w:hAnsi="Times New Roman" w:eastAsia="宋体" w:cs="Times New Roman"/>
                <w:color w:val="auto"/>
                <w:szCs w:val="21"/>
                <w:highlight w:val="none"/>
              </w:rPr>
              <w:t>预期性</w:t>
            </w:r>
            <w:bookmarkEnd w:id="151"/>
          </w:p>
        </w:tc>
        <w:tc>
          <w:tcPr>
            <w:tcW w:w="1717" w:type="dxa"/>
            <w:noWrap w:val="0"/>
            <w:vAlign w:val="center"/>
          </w:tcPr>
          <w:p w14:paraId="3C5DA1FA">
            <w:pPr>
              <w:jc w:val="center"/>
              <w:outlineLvl w:val="0"/>
              <w:rPr>
                <w:rFonts w:hint="default" w:ascii="Times New Roman" w:hAnsi="Times New Roman" w:eastAsia="宋体" w:cs="Times New Roman"/>
                <w:color w:val="auto"/>
                <w:szCs w:val="21"/>
                <w:highlight w:val="none"/>
                <w:lang w:eastAsia="zh-CN"/>
              </w:rPr>
            </w:pPr>
            <w:bookmarkStart w:id="152" w:name="_Toc27411"/>
            <w:r>
              <w:rPr>
                <w:rFonts w:hint="default" w:ascii="Times New Roman" w:hAnsi="Times New Roman" w:cs="Times New Roman"/>
                <w:color w:val="auto"/>
                <w:szCs w:val="21"/>
                <w:highlight w:val="none"/>
                <w:lang w:eastAsia="zh-CN"/>
              </w:rPr>
              <w:t>年均新增</w:t>
            </w:r>
            <w:r>
              <w:rPr>
                <w:rFonts w:hint="default" w:ascii="Times New Roman" w:hAnsi="Times New Roman" w:eastAsia="宋体" w:cs="Times New Roman"/>
                <w:color w:val="auto"/>
                <w:szCs w:val="21"/>
                <w:highlight w:val="none"/>
              </w:rPr>
              <w:t>70</w:t>
            </w:r>
            <w:bookmarkEnd w:id="152"/>
            <w:r>
              <w:rPr>
                <w:rFonts w:hint="default" w:ascii="Times New Roman" w:hAnsi="Times New Roman" w:cs="Times New Roman"/>
                <w:color w:val="auto"/>
                <w:szCs w:val="21"/>
                <w:highlight w:val="none"/>
                <w:lang w:eastAsia="zh-CN"/>
              </w:rPr>
              <w:t>家</w:t>
            </w:r>
          </w:p>
        </w:tc>
        <w:tc>
          <w:tcPr>
            <w:tcW w:w="1601" w:type="dxa"/>
            <w:noWrap w:val="0"/>
            <w:vAlign w:val="center"/>
          </w:tcPr>
          <w:p w14:paraId="00396C6C">
            <w:pPr>
              <w:jc w:val="center"/>
              <w:outlineLvl w:val="0"/>
              <w:rPr>
                <w:rFonts w:hint="default" w:ascii="Times New Roman" w:hAnsi="Times New Roman" w:eastAsia="宋体" w:cs="Times New Roman"/>
                <w:color w:val="auto"/>
                <w:szCs w:val="21"/>
                <w:highlight w:val="none"/>
              </w:rPr>
            </w:pPr>
            <w:bookmarkStart w:id="153" w:name="_Toc19851"/>
            <w:r>
              <w:rPr>
                <w:rFonts w:hint="default" w:ascii="Times New Roman" w:hAnsi="Times New Roman" w:eastAsia="宋体" w:cs="Times New Roman"/>
                <w:color w:val="auto"/>
                <w:szCs w:val="21"/>
                <w:highlight w:val="none"/>
              </w:rPr>
              <w:t>年</w:t>
            </w:r>
            <w:r>
              <w:rPr>
                <w:rFonts w:hint="default" w:ascii="Times New Roman" w:hAnsi="Times New Roman" w:cs="Times New Roman"/>
                <w:color w:val="auto"/>
                <w:szCs w:val="21"/>
                <w:highlight w:val="none"/>
                <w:lang w:eastAsia="zh-CN"/>
              </w:rPr>
              <w:t>均</w:t>
            </w:r>
            <w:r>
              <w:rPr>
                <w:rFonts w:hint="default" w:ascii="Times New Roman" w:hAnsi="Times New Roman" w:eastAsia="宋体" w:cs="Times New Roman"/>
                <w:color w:val="auto"/>
                <w:szCs w:val="21"/>
                <w:highlight w:val="none"/>
              </w:rPr>
              <w:t>新增40家</w:t>
            </w:r>
            <w:bookmarkEnd w:id="153"/>
          </w:p>
        </w:tc>
      </w:tr>
      <w:tr w14:paraId="7D37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36CFAFF3">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188E2AFC">
            <w:pPr>
              <w:jc w:val="center"/>
              <w:outlineLvl w:val="0"/>
              <w:rPr>
                <w:rFonts w:hint="default" w:ascii="Times New Roman" w:hAnsi="Times New Roman" w:eastAsia="宋体" w:cs="Times New Roman"/>
                <w:color w:val="auto"/>
                <w:szCs w:val="21"/>
                <w:highlight w:val="none"/>
              </w:rPr>
            </w:pPr>
            <w:bookmarkStart w:id="154" w:name="_Toc20647"/>
            <w:r>
              <w:rPr>
                <w:rFonts w:hint="default" w:ascii="Times New Roman" w:hAnsi="Times New Roman" w:eastAsia="宋体" w:cs="Times New Roman"/>
                <w:color w:val="auto"/>
                <w:szCs w:val="21"/>
                <w:highlight w:val="none"/>
              </w:rPr>
              <w:t>制造业单项冠军企业（家）</w:t>
            </w:r>
            <w:bookmarkEnd w:id="154"/>
          </w:p>
        </w:tc>
        <w:tc>
          <w:tcPr>
            <w:tcW w:w="1347" w:type="dxa"/>
            <w:noWrap w:val="0"/>
            <w:vAlign w:val="center"/>
          </w:tcPr>
          <w:p w14:paraId="021C874A">
            <w:pPr>
              <w:jc w:val="center"/>
              <w:outlineLvl w:val="0"/>
              <w:rPr>
                <w:rFonts w:hint="default" w:ascii="Times New Roman" w:hAnsi="Times New Roman" w:eastAsia="宋体" w:cs="Times New Roman"/>
                <w:color w:val="auto"/>
                <w:szCs w:val="21"/>
                <w:highlight w:val="none"/>
              </w:rPr>
            </w:pPr>
            <w:bookmarkStart w:id="155" w:name="_Toc22459"/>
            <w:r>
              <w:rPr>
                <w:rFonts w:hint="default" w:ascii="Times New Roman" w:hAnsi="Times New Roman" w:eastAsia="宋体" w:cs="Times New Roman"/>
                <w:color w:val="auto"/>
                <w:szCs w:val="21"/>
                <w:highlight w:val="none"/>
              </w:rPr>
              <w:t>预期性</w:t>
            </w:r>
            <w:bookmarkEnd w:id="155"/>
          </w:p>
        </w:tc>
        <w:tc>
          <w:tcPr>
            <w:tcW w:w="1717" w:type="dxa"/>
            <w:noWrap w:val="0"/>
            <w:vAlign w:val="center"/>
          </w:tcPr>
          <w:p w14:paraId="18223407">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累计4</w:t>
            </w:r>
            <w:r>
              <w:rPr>
                <w:rFonts w:hint="default" w:ascii="Times New Roman" w:hAnsi="Times New Roman" w:cs="Times New Roman"/>
                <w:color w:val="auto"/>
                <w:szCs w:val="21"/>
                <w:highlight w:val="none"/>
                <w:lang w:val="en-US" w:eastAsia="zh-CN"/>
              </w:rPr>
              <w:t>家</w:t>
            </w:r>
          </w:p>
        </w:tc>
        <w:tc>
          <w:tcPr>
            <w:tcW w:w="1601" w:type="dxa"/>
            <w:noWrap w:val="0"/>
            <w:vAlign w:val="center"/>
          </w:tcPr>
          <w:p w14:paraId="582393F6">
            <w:pPr>
              <w:jc w:val="center"/>
              <w:outlineLvl w:val="0"/>
              <w:rPr>
                <w:rFonts w:hint="default" w:ascii="Times New Roman" w:hAnsi="Times New Roman" w:eastAsia="宋体" w:cs="Times New Roman"/>
                <w:color w:val="auto"/>
                <w:szCs w:val="21"/>
                <w:highlight w:val="none"/>
              </w:rPr>
            </w:pPr>
            <w:bookmarkStart w:id="156" w:name="_Toc8572"/>
            <w:r>
              <w:rPr>
                <w:rFonts w:hint="default" w:ascii="Times New Roman" w:hAnsi="Times New Roman" w:eastAsia="宋体" w:cs="Times New Roman"/>
                <w:color w:val="auto"/>
                <w:szCs w:val="21"/>
                <w:highlight w:val="none"/>
              </w:rPr>
              <w:t>5年新增1家</w:t>
            </w:r>
            <w:bookmarkEnd w:id="156"/>
          </w:p>
        </w:tc>
      </w:tr>
      <w:tr w14:paraId="74E0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0690C45F">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3A764CBD">
            <w:pPr>
              <w:jc w:val="center"/>
              <w:outlineLvl w:val="0"/>
              <w:rPr>
                <w:rFonts w:hint="default" w:ascii="Times New Roman" w:hAnsi="Times New Roman" w:eastAsia="宋体" w:cs="Times New Roman"/>
                <w:color w:val="auto"/>
                <w:szCs w:val="21"/>
                <w:highlight w:val="none"/>
              </w:rPr>
            </w:pPr>
            <w:bookmarkStart w:id="157" w:name="_Toc14001"/>
            <w:r>
              <w:rPr>
                <w:rFonts w:hint="default" w:ascii="Times New Roman" w:hAnsi="Times New Roman" w:eastAsia="宋体" w:cs="Times New Roman"/>
                <w:color w:val="auto"/>
                <w:szCs w:val="21"/>
                <w:highlight w:val="none"/>
              </w:rPr>
              <w:t>省领航企业（家）</w:t>
            </w:r>
            <w:bookmarkEnd w:id="157"/>
          </w:p>
        </w:tc>
        <w:tc>
          <w:tcPr>
            <w:tcW w:w="1347" w:type="dxa"/>
            <w:noWrap w:val="0"/>
            <w:vAlign w:val="center"/>
          </w:tcPr>
          <w:p w14:paraId="524B1035">
            <w:pPr>
              <w:jc w:val="center"/>
              <w:outlineLvl w:val="0"/>
              <w:rPr>
                <w:rFonts w:hint="default" w:ascii="Times New Roman" w:hAnsi="Times New Roman" w:eastAsia="宋体" w:cs="Times New Roman"/>
                <w:color w:val="auto"/>
                <w:szCs w:val="21"/>
                <w:highlight w:val="none"/>
              </w:rPr>
            </w:pPr>
            <w:bookmarkStart w:id="158" w:name="_Toc12631"/>
            <w:r>
              <w:rPr>
                <w:rFonts w:hint="default" w:ascii="Times New Roman" w:hAnsi="Times New Roman" w:eastAsia="宋体" w:cs="Times New Roman"/>
                <w:color w:val="auto"/>
                <w:szCs w:val="21"/>
                <w:highlight w:val="none"/>
              </w:rPr>
              <w:t>预期性</w:t>
            </w:r>
            <w:bookmarkEnd w:id="158"/>
          </w:p>
        </w:tc>
        <w:tc>
          <w:tcPr>
            <w:tcW w:w="1717" w:type="dxa"/>
            <w:noWrap w:val="0"/>
            <w:vAlign w:val="center"/>
          </w:tcPr>
          <w:p w14:paraId="62644CDA">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w:t>
            </w:r>
            <w:r>
              <w:rPr>
                <w:rFonts w:hint="default" w:ascii="Times New Roman" w:hAnsi="Times New Roman" w:cs="Times New Roman"/>
                <w:color w:val="auto"/>
                <w:szCs w:val="21"/>
                <w:highlight w:val="none"/>
                <w:lang w:val="en-US" w:eastAsia="zh-CN"/>
              </w:rPr>
              <w:t>3家</w:t>
            </w:r>
          </w:p>
        </w:tc>
        <w:tc>
          <w:tcPr>
            <w:tcW w:w="1601" w:type="dxa"/>
            <w:noWrap w:val="0"/>
            <w:vAlign w:val="center"/>
          </w:tcPr>
          <w:p w14:paraId="5072CE7C">
            <w:pPr>
              <w:jc w:val="center"/>
              <w:outlineLvl w:val="0"/>
              <w:rPr>
                <w:rFonts w:hint="default" w:ascii="Times New Roman" w:hAnsi="Times New Roman" w:eastAsia="宋体" w:cs="Times New Roman"/>
                <w:color w:val="auto"/>
                <w:szCs w:val="21"/>
                <w:highlight w:val="none"/>
              </w:rPr>
            </w:pPr>
            <w:bookmarkStart w:id="159" w:name="_Toc7556"/>
            <w:r>
              <w:rPr>
                <w:rFonts w:hint="default" w:ascii="Times New Roman" w:hAnsi="Times New Roman" w:eastAsia="宋体" w:cs="Times New Roman"/>
                <w:color w:val="auto"/>
                <w:szCs w:val="21"/>
                <w:highlight w:val="none"/>
              </w:rPr>
              <w:t>5年新增2-3家</w:t>
            </w:r>
            <w:bookmarkEnd w:id="159"/>
          </w:p>
        </w:tc>
      </w:tr>
      <w:tr w14:paraId="37E3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dxa"/>
            <w:vMerge w:val="continue"/>
            <w:noWrap w:val="0"/>
            <w:vAlign w:val="center"/>
          </w:tcPr>
          <w:p w14:paraId="0BE300EC">
            <w:pPr>
              <w:jc w:val="center"/>
              <w:outlineLvl w:val="9"/>
              <w:rPr>
                <w:rFonts w:hint="default" w:ascii="Times New Roman" w:hAnsi="Times New Roman" w:eastAsia="宋体" w:cs="Times New Roman"/>
                <w:color w:val="auto"/>
                <w:szCs w:val="21"/>
                <w:highlight w:val="none"/>
              </w:rPr>
            </w:pPr>
          </w:p>
        </w:tc>
        <w:tc>
          <w:tcPr>
            <w:tcW w:w="3027" w:type="dxa"/>
            <w:noWrap w:val="0"/>
            <w:vAlign w:val="center"/>
          </w:tcPr>
          <w:p w14:paraId="3ABDC5C8">
            <w:pPr>
              <w:jc w:val="center"/>
              <w:outlineLvl w:val="0"/>
              <w:rPr>
                <w:rFonts w:hint="default" w:ascii="Times New Roman" w:hAnsi="Times New Roman" w:eastAsia="宋体" w:cs="Times New Roman"/>
                <w:color w:val="auto"/>
                <w:szCs w:val="21"/>
                <w:highlight w:val="none"/>
              </w:rPr>
            </w:pPr>
            <w:bookmarkStart w:id="160" w:name="_Toc25553"/>
            <w:r>
              <w:rPr>
                <w:rFonts w:hint="default" w:ascii="Times New Roman" w:hAnsi="Times New Roman" w:eastAsia="宋体" w:cs="Times New Roman"/>
                <w:color w:val="auto"/>
                <w:szCs w:val="21"/>
                <w:highlight w:val="none"/>
              </w:rPr>
              <w:t>省级以上专精特新企业（家）</w:t>
            </w:r>
            <w:bookmarkEnd w:id="160"/>
          </w:p>
        </w:tc>
        <w:tc>
          <w:tcPr>
            <w:tcW w:w="1347" w:type="dxa"/>
            <w:noWrap w:val="0"/>
            <w:vAlign w:val="center"/>
          </w:tcPr>
          <w:p w14:paraId="26CEFB27">
            <w:pPr>
              <w:jc w:val="center"/>
              <w:outlineLvl w:val="0"/>
              <w:rPr>
                <w:rFonts w:hint="default" w:ascii="Times New Roman" w:hAnsi="Times New Roman" w:eastAsia="宋体" w:cs="Times New Roman"/>
                <w:color w:val="auto"/>
                <w:szCs w:val="21"/>
                <w:highlight w:val="none"/>
              </w:rPr>
            </w:pPr>
            <w:bookmarkStart w:id="161" w:name="_Toc21209"/>
            <w:r>
              <w:rPr>
                <w:rFonts w:hint="default" w:ascii="Times New Roman" w:hAnsi="Times New Roman" w:eastAsia="宋体" w:cs="Times New Roman"/>
                <w:color w:val="auto"/>
                <w:szCs w:val="21"/>
                <w:highlight w:val="none"/>
              </w:rPr>
              <w:t>预期性</w:t>
            </w:r>
            <w:bookmarkEnd w:id="161"/>
          </w:p>
        </w:tc>
        <w:tc>
          <w:tcPr>
            <w:tcW w:w="1717" w:type="dxa"/>
            <w:noWrap w:val="0"/>
            <w:vAlign w:val="center"/>
          </w:tcPr>
          <w:p w14:paraId="02BE33C8">
            <w:pPr>
              <w:jc w:val="center"/>
              <w:outlineLvl w:val="9"/>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累计201</w:t>
            </w:r>
            <w:r>
              <w:rPr>
                <w:rFonts w:hint="default" w:ascii="Times New Roman" w:hAnsi="Times New Roman" w:cs="Times New Roman"/>
                <w:color w:val="auto"/>
                <w:szCs w:val="21"/>
                <w:highlight w:val="none"/>
                <w:lang w:val="en-US" w:eastAsia="zh-CN"/>
              </w:rPr>
              <w:t>家</w:t>
            </w:r>
          </w:p>
        </w:tc>
        <w:tc>
          <w:tcPr>
            <w:tcW w:w="1601" w:type="dxa"/>
            <w:noWrap w:val="0"/>
            <w:vAlign w:val="center"/>
          </w:tcPr>
          <w:p w14:paraId="5E935695">
            <w:pPr>
              <w:jc w:val="center"/>
              <w:outlineLvl w:val="0"/>
              <w:rPr>
                <w:rFonts w:hint="default" w:ascii="Times New Roman" w:hAnsi="Times New Roman" w:eastAsia="宋体" w:cs="Times New Roman"/>
                <w:color w:val="auto"/>
                <w:szCs w:val="21"/>
                <w:highlight w:val="none"/>
              </w:rPr>
            </w:pPr>
            <w:bookmarkStart w:id="162" w:name="_Toc22695"/>
            <w:r>
              <w:rPr>
                <w:rFonts w:hint="default" w:ascii="Times New Roman" w:hAnsi="Times New Roman" w:eastAsia="宋体" w:cs="Times New Roman"/>
                <w:color w:val="auto"/>
                <w:szCs w:val="21"/>
                <w:highlight w:val="none"/>
              </w:rPr>
              <w:t>5年新增</w:t>
            </w:r>
            <w:r>
              <w:rPr>
                <w:rFonts w:hint="default" w:ascii="Times New Roman" w:hAnsi="Times New Roman" w:cs="Times New Roman"/>
                <w:color w:val="auto"/>
                <w:szCs w:val="21"/>
                <w:highlight w:val="none"/>
                <w:lang w:val="en-US" w:eastAsia="zh-CN"/>
              </w:rPr>
              <w:t>30</w:t>
            </w:r>
            <w:r>
              <w:rPr>
                <w:rFonts w:hint="default" w:ascii="Times New Roman" w:hAnsi="Times New Roman" w:eastAsia="宋体" w:cs="Times New Roman"/>
                <w:color w:val="auto"/>
                <w:szCs w:val="21"/>
                <w:highlight w:val="none"/>
              </w:rPr>
              <w:t>家</w:t>
            </w:r>
            <w:bookmarkEnd w:id="162"/>
          </w:p>
        </w:tc>
      </w:tr>
    </w:tbl>
    <w:p w14:paraId="59B65B78">
      <w:pPr>
        <w:jc w:val="center"/>
        <w:outlineLvl w:val="9"/>
        <w:rPr>
          <w:rFonts w:ascii="Times New Roman" w:hAnsi="Times New Roman" w:eastAsia="黑体" w:cs="黑体"/>
          <w:color w:val="auto"/>
          <w:sz w:val="32"/>
          <w:szCs w:val="32"/>
          <w:highlight w:val="none"/>
        </w:rPr>
      </w:pPr>
    </w:p>
    <w:bookmarkEnd w:id="32"/>
    <w:p w14:paraId="275EF73D">
      <w:pPr>
        <w:pStyle w:val="2"/>
        <w:spacing w:line="520" w:lineRule="exact"/>
        <w:ind w:left="0" w:leftChars="0" w:firstLine="0" w:firstLineChars="0"/>
        <w:rPr>
          <w:rFonts w:hint="eastAsia"/>
          <w:color w:val="auto"/>
          <w:highlight w:val="none"/>
        </w:rPr>
      </w:pPr>
    </w:p>
    <w:p w14:paraId="1314FA7A">
      <w:pPr>
        <w:rPr>
          <w:rFonts w:hint="eastAsia" w:ascii="Times New Roman" w:hAnsi="Times New Roman" w:eastAsia="方正小标宋_GBK" w:cs="Times New Roman"/>
          <w:color w:val="auto"/>
          <w:spacing w:val="11"/>
          <w:kern w:val="44"/>
          <w:sz w:val="36"/>
          <w:szCs w:val="36"/>
        </w:rPr>
      </w:pPr>
      <w:bookmarkStart w:id="163" w:name="_Toc26465"/>
      <w:r>
        <w:rPr>
          <w:rFonts w:hint="eastAsia" w:ascii="Times New Roman" w:hAnsi="Times New Roman" w:eastAsia="方正小标宋_GBK" w:cs="Times New Roman"/>
          <w:color w:val="auto"/>
          <w:spacing w:val="11"/>
          <w:kern w:val="44"/>
          <w:sz w:val="36"/>
          <w:szCs w:val="36"/>
        </w:rPr>
        <w:br w:type="page"/>
      </w:r>
    </w:p>
    <w:p w14:paraId="74E6DDEB">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lang w:val="en-US" w:eastAsia="zh-CN" w:bidi="ar-SA"/>
        </w:rPr>
      </w:pPr>
    </w:p>
    <w:p w14:paraId="43B6F8C5">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rPr>
      </w:pPr>
      <w:r>
        <w:rPr>
          <w:rFonts w:hint="eastAsia" w:ascii="Times New Roman" w:hAnsi="Times New Roman" w:eastAsia="方正小标宋_GBK" w:cs="Times New Roman"/>
          <w:color w:val="auto"/>
          <w:spacing w:val="11"/>
          <w:kern w:val="44"/>
          <w:sz w:val="36"/>
          <w:szCs w:val="36"/>
          <w:lang w:val="en-US" w:eastAsia="zh-CN" w:bidi="ar-SA"/>
        </w:rPr>
        <w:t xml:space="preserve">第三章 </w:t>
      </w:r>
      <w:r>
        <w:rPr>
          <w:rFonts w:hint="eastAsia" w:ascii="Times New Roman" w:hAnsi="Times New Roman" w:eastAsia="方正小标宋_GBK" w:cs="Times New Roman"/>
          <w:color w:val="auto"/>
          <w:spacing w:val="11"/>
          <w:kern w:val="44"/>
          <w:sz w:val="36"/>
          <w:szCs w:val="36"/>
        </w:rPr>
        <w:t>构建现代化产业体系，打造特色产业集群</w:t>
      </w:r>
      <w:bookmarkEnd w:id="163"/>
    </w:p>
    <w:p w14:paraId="62E25AB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64" w:name="_Toc28906"/>
      <w:r>
        <w:rPr>
          <w:rFonts w:hint="eastAsia" w:ascii="Times New Roman" w:hAnsi="Times New Roman" w:eastAsia="黑体" w:cs="Times New Roman"/>
          <w:color w:val="auto"/>
          <w:sz w:val="32"/>
          <w:szCs w:val="32"/>
          <w:highlight w:val="none"/>
        </w:rPr>
        <w:t>第一节 实施“</w:t>
      </w:r>
      <w:r>
        <w:rPr>
          <w:rFonts w:hint="default" w:ascii="Times New Roman" w:hAnsi="Times New Roman" w:eastAsia="黑体" w:cs="Times New Roman"/>
          <w:color w:val="auto"/>
          <w:sz w:val="32"/>
          <w:szCs w:val="32"/>
          <w:highlight w:val="none"/>
        </w:rPr>
        <w:t>2+2+X</w:t>
      </w:r>
      <w:r>
        <w:rPr>
          <w:rFonts w:hint="eastAsia" w:ascii="Times New Roman" w:hAnsi="Times New Roman" w:eastAsia="黑体" w:cs="Times New Roman"/>
          <w:color w:val="auto"/>
          <w:sz w:val="32"/>
          <w:szCs w:val="32"/>
          <w:highlight w:val="none"/>
        </w:rPr>
        <w:t>”强链工程，优化产业整体布局</w:t>
      </w:r>
      <w:bookmarkEnd w:id="164"/>
    </w:p>
    <w:p w14:paraId="722D2DD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结合泰州“大海新晨”发展方向，优化整合现有产业链，打造具有区域影响力和核心竞争力的“</w:t>
      </w:r>
      <w:r>
        <w:rPr>
          <w:rFonts w:hint="default" w:ascii="Times New Roman" w:hAnsi="Times New Roman" w:cs="Times New Roman"/>
          <w:color w:val="auto"/>
          <w:highlight w:val="none"/>
        </w:rPr>
        <w:t>2+2+X</w:t>
      </w:r>
      <w:r>
        <w:rPr>
          <w:rFonts w:hint="eastAsia"/>
          <w:color w:val="auto"/>
          <w:highlight w:val="none"/>
        </w:rPr>
        <w:t>”特色产业集群</w:t>
      </w:r>
      <w:r>
        <w:rPr>
          <w:rFonts w:hint="eastAsia"/>
          <w:color w:val="auto"/>
          <w:highlight w:val="none"/>
          <w:lang w:eastAsia="zh-CN"/>
        </w:rPr>
        <w:t>（</w:t>
      </w:r>
      <w:r>
        <w:rPr>
          <w:rFonts w:hint="eastAsia" w:ascii="方正仿宋_GBK" w:hAnsi="方正仿宋_GBK" w:eastAsia="方正仿宋_GBK" w:cs="方正仿宋_GBK"/>
          <w:b w:val="0"/>
          <w:bCs w:val="0"/>
          <w:color w:val="auto"/>
          <w:sz w:val="32"/>
          <w:szCs w:val="32"/>
          <w:highlight w:val="none"/>
          <w:lang w:val="en-US" w:eastAsia="zh-CN"/>
        </w:rPr>
        <w:t>汽车零部件及油气海工装备、新能源、医药健康、新一代信息技术、未来产业）</w:t>
      </w:r>
      <w:r>
        <w:rPr>
          <w:rFonts w:hint="eastAsia"/>
          <w:color w:val="auto"/>
          <w:highlight w:val="none"/>
        </w:rPr>
        <w:t>。完善重点产业链图谱，梳理关键缺失环节和薄弱环节</w:t>
      </w:r>
      <w:r>
        <w:rPr>
          <w:rFonts w:hint="eastAsia"/>
          <w:color w:val="auto"/>
          <w:highlight w:val="none"/>
          <w:lang w:eastAsia="zh-CN"/>
        </w:rPr>
        <w:t>，</w:t>
      </w:r>
      <w:r>
        <w:rPr>
          <w:rFonts w:hint="eastAsia"/>
          <w:color w:val="auto"/>
          <w:highlight w:val="none"/>
        </w:rPr>
        <w:t>建立</w:t>
      </w:r>
      <w:r>
        <w:rPr>
          <w:rFonts w:hint="eastAsia"/>
          <w:color w:val="auto"/>
          <w:highlight w:val="none"/>
          <w:lang w:eastAsia="zh-CN"/>
        </w:rPr>
        <w:t>“</w:t>
      </w:r>
      <w:r>
        <w:rPr>
          <w:rFonts w:hint="eastAsia"/>
          <w:color w:val="auto"/>
          <w:highlight w:val="none"/>
        </w:rPr>
        <w:t>补短板</w:t>
      </w:r>
      <w:r>
        <w:rPr>
          <w:rFonts w:hint="eastAsia"/>
          <w:color w:val="auto"/>
          <w:highlight w:val="none"/>
          <w:lang w:eastAsia="zh-CN"/>
        </w:rPr>
        <w:t>”</w:t>
      </w:r>
      <w:r>
        <w:rPr>
          <w:rFonts w:hint="eastAsia"/>
          <w:color w:val="auto"/>
          <w:highlight w:val="none"/>
        </w:rPr>
        <w:t>和</w:t>
      </w:r>
      <w:r>
        <w:rPr>
          <w:rFonts w:hint="eastAsia"/>
          <w:color w:val="auto"/>
          <w:highlight w:val="none"/>
          <w:lang w:eastAsia="zh-CN"/>
        </w:rPr>
        <w:t>“</w:t>
      </w:r>
      <w:r>
        <w:rPr>
          <w:rFonts w:hint="eastAsia"/>
          <w:color w:val="auto"/>
          <w:highlight w:val="none"/>
        </w:rPr>
        <w:t>锻长板</w:t>
      </w:r>
      <w:r>
        <w:rPr>
          <w:rFonts w:hint="eastAsia"/>
          <w:color w:val="auto"/>
          <w:highlight w:val="none"/>
          <w:lang w:eastAsia="zh-CN"/>
        </w:rPr>
        <w:t>”</w:t>
      </w:r>
      <w:r>
        <w:rPr>
          <w:rFonts w:hint="eastAsia"/>
          <w:color w:val="auto"/>
          <w:highlight w:val="none"/>
        </w:rPr>
        <w:t>清单，实施精准招商</w:t>
      </w:r>
      <w:r>
        <w:rPr>
          <w:rFonts w:hint="eastAsia"/>
          <w:color w:val="auto"/>
          <w:highlight w:val="none"/>
          <w:lang w:eastAsia="zh-CN"/>
        </w:rPr>
        <w:t>，</w:t>
      </w:r>
      <w:r>
        <w:rPr>
          <w:rFonts w:hint="eastAsia"/>
          <w:color w:val="auto"/>
          <w:highlight w:val="none"/>
        </w:rPr>
        <w:t>重点引进具有技术引领性和产业带动力的关键项目，推动产业链上下游协同发展，提升产业链整体竞争力。引导产业要素向重点园区集聚，明确各园区主导产业和功能定位。推动开发区争创国家级经济技术开发区，支持高新区打造创新型特色园区，提升装备园区专业化承载能力。促进园区间协同发展、错位发展，形成布局合理、集约高效、优势互补的产业发展空间格局。</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8"/>
      </w:tblGrid>
      <w:tr w14:paraId="139B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8" w:type="dxa"/>
            <w:noWrap w:val="0"/>
            <w:vAlign w:val="center"/>
          </w:tcPr>
          <w:p w14:paraId="23B6FF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黑体" w:cs="Times New Roman"/>
                <w:color w:val="auto"/>
                <w:kern w:val="0"/>
                <w:sz w:val="24"/>
                <w:highlight w:val="none"/>
                <w:lang w:val="en-US" w:eastAsia="zh-CN"/>
              </w:rPr>
            </w:pPr>
            <w:r>
              <w:rPr>
                <w:rFonts w:hint="default" w:ascii="Times New Roman" w:hAnsi="Times New Roman" w:eastAsia="黑体" w:cs="Times New Roman"/>
                <w:color w:val="auto"/>
                <w:kern w:val="0"/>
                <w:sz w:val="24"/>
                <w:highlight w:val="none"/>
                <w:lang w:val="en-US" w:eastAsia="zh-CN"/>
              </w:rPr>
              <w:t>专栏1：产业链群培育机制</w:t>
            </w:r>
          </w:p>
        </w:tc>
      </w:tr>
      <w:tr w14:paraId="4F11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858" w:type="dxa"/>
            <w:noWrap w:val="0"/>
            <w:vAlign w:val="top"/>
          </w:tcPr>
          <w:p w14:paraId="5AC64C4E">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立足泰州市重点产业链体系和我区产业特色，聚力培育发展汽车零部件、医药及医疗器械、油气及海工装备、电子信息、新能源、农文旅体康、商贸服务业7个产业链群。1.区委、区政府相关负责人牵头成立专班，精准谋划、制定方案、统筹推进；2.明确产业链群短、中、长期发展目标，落实培育服务措施，致力存量挖潜；3.开展产业链群专题招商，形成招商工作清单、项目目标清单，推动增量跃升。4.实施稳企育企、招商引资、项目攻坚、创新引领四大工程，着力做强产业链、提升价值链、融通供应链、激活人才链，构建具有姜堰特色的现代产业体系。</w:t>
            </w:r>
          </w:p>
        </w:tc>
      </w:tr>
    </w:tbl>
    <w:p w14:paraId="74E6D51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65" w:name="_Toc19824"/>
      <w:r>
        <w:rPr>
          <w:rFonts w:hint="eastAsia" w:ascii="Times New Roman" w:hAnsi="Times New Roman" w:eastAsia="黑体" w:cs="Times New Roman"/>
          <w:color w:val="auto"/>
          <w:sz w:val="32"/>
          <w:szCs w:val="32"/>
          <w:highlight w:val="none"/>
        </w:rPr>
        <w:t>第二节 做大做强</w:t>
      </w:r>
      <w:r>
        <w:rPr>
          <w:rFonts w:hint="eastAsia" w:ascii="Times New Roman" w:hAnsi="Times New Roman" w:eastAsia="黑体" w:cs="Times New Roman"/>
          <w:color w:val="auto"/>
          <w:sz w:val="32"/>
          <w:szCs w:val="32"/>
          <w:highlight w:val="none"/>
          <w:lang w:val="en-US" w:eastAsia="zh-CN"/>
        </w:rPr>
        <w:t>两大优势</w:t>
      </w:r>
      <w:r>
        <w:rPr>
          <w:rFonts w:hint="eastAsia" w:ascii="Times New Roman" w:hAnsi="Times New Roman" w:eastAsia="黑体" w:cs="Times New Roman"/>
          <w:color w:val="auto"/>
          <w:sz w:val="32"/>
          <w:szCs w:val="32"/>
          <w:highlight w:val="none"/>
        </w:rPr>
        <w:t>制造产业</w:t>
      </w:r>
      <w:bookmarkEnd w:id="165"/>
    </w:p>
    <w:p w14:paraId="2E53A775">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2"/>
        <w:rPr>
          <w:rFonts w:hint="eastAsia" w:ascii="楷体" w:hAnsi="楷体" w:eastAsia="楷体" w:cs="楷体"/>
          <w:color w:val="auto"/>
          <w:highlight w:val="none"/>
          <w:lang w:val="en-US" w:eastAsia="zh-CN"/>
        </w:rPr>
      </w:pPr>
      <w:r>
        <w:rPr>
          <w:rFonts w:hint="eastAsia" w:ascii="楷体" w:hAnsi="楷体" w:eastAsia="楷体" w:cs="楷体"/>
          <w:color w:val="auto"/>
          <w:highlight w:val="none"/>
        </w:rPr>
        <w:t>（一）汽车零部件及油气海工</w:t>
      </w:r>
      <w:r>
        <w:rPr>
          <w:rFonts w:hint="eastAsia" w:ascii="楷体" w:hAnsi="楷体" w:eastAsia="楷体" w:cs="楷体"/>
          <w:color w:val="auto"/>
          <w:highlight w:val="none"/>
          <w:lang w:val="en-US" w:eastAsia="zh-CN"/>
        </w:rPr>
        <w:t>产业</w:t>
      </w:r>
    </w:p>
    <w:p w14:paraId="39E2176C">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1.汽车零部件产业。</w:t>
      </w:r>
      <w:r>
        <w:rPr>
          <w:rFonts w:hint="eastAsia"/>
          <w:color w:val="auto"/>
          <w:highlight w:val="none"/>
        </w:rPr>
        <w:t>延伸汽车零部件产业链条，培育引进汽车安全、控制系统、自动驾驶等领域企业，拓展新能源汽车赛道，探索发展汽车后市场，引培大型汽配企业集团。探索建设大规模专业性产研院和中试基地，加快汽车轻量化、铸锻一体化技术应用，布局智能网联汽车传感器、控制系统等关键零部件，推动企业由零件向部件、总成方向升级，提升系统集成与模块化供货能力。支持太平洋精锻等龙头企业巩固在汽车精锻齿轮、差速器等领域的全球领先地位，积极拓展新能源汽车变速箱、电驱动系统等核心部件。</w:t>
      </w:r>
    </w:p>
    <w:p w14:paraId="078076E9">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lang w:val="en-US" w:eastAsia="zh-CN"/>
        </w:rPr>
        <w:t>2</w:t>
      </w:r>
      <w:r>
        <w:rPr>
          <w:rFonts w:hint="eastAsia" w:ascii="楷体" w:hAnsi="楷体" w:eastAsia="楷体" w:cs="楷体"/>
          <w:color w:val="auto"/>
          <w:highlight w:val="none"/>
        </w:rPr>
        <w:t>.油气装备产业。</w:t>
      </w:r>
      <w:r>
        <w:rPr>
          <w:rFonts w:hint="eastAsia"/>
          <w:color w:val="auto"/>
          <w:highlight w:val="none"/>
        </w:rPr>
        <w:t>推动高端海洋油气装备产业高质量发展，重点攻坚高精度勘探设备、深海及页岩气开采装备、超深水平台、</w:t>
      </w:r>
      <w:r>
        <w:rPr>
          <w:rFonts w:hint="eastAsia"/>
          <w:color w:val="auto"/>
          <w:highlight w:val="none"/>
          <w:lang w:eastAsia="zh-CN"/>
        </w:rPr>
        <w:t>特种钢丝绳、</w:t>
      </w:r>
      <w:r>
        <w:rPr>
          <w:rFonts w:hint="eastAsia"/>
          <w:color w:val="auto"/>
          <w:highlight w:val="none"/>
        </w:rPr>
        <w:t>流体管道、管网非开挖技术等高端化方向，以技术创新、产品研发、市场占有为核心驱动，构建“技术引领、产能优化、品牌升级”的产业发展格局。依托曙光集团超深井钻杆、冲击器及万米深井高强度接头的研发应用、国民油井“东半球加工中心”建成投产以及五行科技、中裕软管页岩气压力液输送、千米级海洋油田输送泄漏智能监测、新型仿生复合内衬管等新材料与特种软管的创新突破，聚力打造技术领先、产业集聚、地企深度融合的高端海洋石油装备产业基地，全面推动油气装备向高端化、深海</w:t>
      </w:r>
      <w:r>
        <w:rPr>
          <w:rFonts w:hint="eastAsia"/>
          <w:color w:val="auto"/>
          <w:highlight w:val="none"/>
          <w:lang w:eastAsia="zh-CN"/>
        </w:rPr>
        <w:t>深地</w:t>
      </w:r>
      <w:r>
        <w:rPr>
          <w:rFonts w:hint="eastAsia"/>
          <w:color w:val="auto"/>
          <w:highlight w:val="none"/>
        </w:rPr>
        <w:t>化、智能化迈进。</w:t>
      </w:r>
    </w:p>
    <w:p w14:paraId="1BF97498">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lang w:val="en-US" w:eastAsia="zh-CN"/>
        </w:rPr>
        <w:t>3</w:t>
      </w:r>
      <w:r>
        <w:rPr>
          <w:rFonts w:hint="eastAsia" w:ascii="楷体" w:hAnsi="楷体" w:eastAsia="楷体" w:cs="楷体"/>
          <w:color w:val="auto"/>
          <w:highlight w:val="none"/>
        </w:rPr>
        <w:t>.海工装备产业。</w:t>
      </w:r>
      <w:r>
        <w:rPr>
          <w:rFonts w:hint="eastAsia"/>
          <w:color w:val="auto"/>
          <w:highlight w:val="none"/>
        </w:rPr>
        <w:t>立足船用泵、阀、仪器仪表、舾装件及动力、电气、甲板机械等现有产业基础，锚定 “高端化、智能化、绿色化”核心方向持续延伸。重点突破离心泵降振降噪、电力推进系统、滚轮闸刀掣链器、船用低</w:t>
      </w:r>
      <w:r>
        <w:rPr>
          <w:rFonts w:hint="default" w:ascii="Times New Roman" w:hAnsi="Times New Roman" w:cs="Times New Roman"/>
          <w:color w:val="auto"/>
          <w:highlight w:val="none"/>
        </w:rPr>
        <w:t>温LNG输送</w:t>
      </w:r>
      <w:r>
        <w:rPr>
          <w:rFonts w:hint="eastAsia"/>
          <w:color w:val="auto"/>
          <w:highlight w:val="none"/>
        </w:rPr>
        <w:t>软管等高端技术壁垒，加大船用碳捕捉装置、高效节能甲板机械、智能监测运维系统等低碳智能产品研发。依托振华海科海上救援用大流量高机动抗横倾泵关键技术研究及远望仪器边缘计算智能传感器、船舶智能一体化平台技术攻关，提升大型复杂精密结构件设计制造能力。同时推动生产环节智改数转网联，顺应绿色能源趋势拓展智能化高性能船用泵、电机等海洋新兴产业装备制造，布局多元海洋经济赛道，推动企业向运维服务、总包服务等价值链高端延伸，打造技术领先、配套完备、绿色低碳且具备系统解决方案提供能力的海工装备产业集群，成为区域产业配套核心承载主体。</w:t>
      </w:r>
    </w:p>
    <w:p w14:paraId="1847A67D">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cs="Times New Roman"/>
          <w:color w:val="auto"/>
          <w:highlight w:val="none"/>
        </w:rPr>
        <w:t>到2030年，汽车零部件及油气海工产业规模突破2</w:t>
      </w:r>
      <w:r>
        <w:rPr>
          <w:rFonts w:hint="default" w:ascii="Times New Roman" w:hAnsi="Times New Roman" w:cs="Times New Roman"/>
          <w:color w:val="auto"/>
          <w:highlight w:val="none"/>
          <w:lang w:val="en-US" w:eastAsia="zh-CN"/>
        </w:rPr>
        <w:t>3</w:t>
      </w:r>
      <w:r>
        <w:rPr>
          <w:rFonts w:hint="default" w:ascii="Times New Roman" w:hAnsi="Times New Roman" w:cs="Times New Roman"/>
          <w:color w:val="auto"/>
          <w:highlight w:val="none"/>
        </w:rPr>
        <w:t>0亿元，</w:t>
      </w:r>
      <w:r>
        <w:rPr>
          <w:rFonts w:hint="eastAsia"/>
          <w:color w:val="auto"/>
          <w:highlight w:val="none"/>
        </w:rPr>
        <w:t>形成一批在国内细分市场占有率位居前列的“隐形冠军”产品。</w:t>
      </w:r>
    </w:p>
    <w:p w14:paraId="3F960BB0">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2"/>
        <w:rPr>
          <w:rFonts w:hint="eastAsia" w:ascii="楷体" w:hAnsi="楷体" w:eastAsia="楷体" w:cs="楷体"/>
          <w:color w:val="auto"/>
          <w:highlight w:val="none"/>
        </w:rPr>
      </w:pPr>
      <w:r>
        <w:rPr>
          <w:rFonts w:hint="eastAsia" w:ascii="楷体" w:hAnsi="楷体" w:eastAsia="楷体" w:cs="楷体"/>
          <w:color w:val="auto"/>
          <w:highlight w:val="none"/>
        </w:rPr>
        <w:t>（二）新能源产业</w:t>
      </w:r>
    </w:p>
    <w:p w14:paraId="01EB4F4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1.锂离子电池。</w:t>
      </w:r>
      <w:r>
        <w:rPr>
          <w:rFonts w:hint="eastAsia"/>
          <w:color w:val="auto"/>
          <w:highlight w:val="none"/>
        </w:rPr>
        <w:t>支持双登集团等龙头企业持续提升锂电技术水平，扩大储能电池、动力电池产能。围绕新能源汽车动力电池、新能源汽车充电设备等领域，重点突破固态电池、氢燃料电池、钠离子电池等新型高端动力电池产品及关键零配件，积极引进和培育电池材料、电池管理系统、回收利用等上下游企业，完善本地产业链。</w:t>
      </w:r>
    </w:p>
    <w:p w14:paraId="2A95A078">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2.光伏太阳能。</w:t>
      </w:r>
      <w:r>
        <w:rPr>
          <w:rFonts w:hint="eastAsia"/>
          <w:color w:val="auto"/>
          <w:highlight w:val="none"/>
        </w:rPr>
        <w:t>推动</w:t>
      </w:r>
      <w:r>
        <w:rPr>
          <w:rFonts w:hint="default" w:ascii="Times New Roman" w:hAnsi="Times New Roman" w:cs="Times New Roman"/>
          <w:color w:val="auto"/>
          <w:highlight w:val="none"/>
        </w:rPr>
        <w:t>中来光电、大秦、易事特等企业在N型BTC、HJT、钙钛矿等高效晶硅</w:t>
      </w:r>
      <w:r>
        <w:rPr>
          <w:rFonts w:hint="eastAsia"/>
          <w:color w:val="auto"/>
          <w:highlight w:val="none"/>
        </w:rPr>
        <w:t>电池技术上保持领先优势，发展智能光伏组件、光伏建筑一体化产品，重点发展单晶硅、高效异质结、铜铟镓硒薄膜等新一代太阳能组件及电站，引导光伏业向上游硅片、基材发展。鼓励企业提供“光伏+储能”系统解决方案，拓展光伏在工业园区、公共建筑等场景的应用。</w:t>
      </w:r>
    </w:p>
    <w:p w14:paraId="3F42EFB4">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3.新型储能。</w:t>
      </w:r>
      <w:r>
        <w:rPr>
          <w:rFonts w:hint="eastAsia"/>
          <w:color w:val="auto"/>
          <w:highlight w:val="none"/>
        </w:rPr>
        <w:t>加快发展电化学储能等新型储能技术和产品，推进储能系统智能控制、安全预警、运维管理等关键技术研发与应用。加快推进新型储能“零碳产业园”、申跃科技高性能电驱系统项目建设，构建涵盖“电芯－系统集成－场景应用－回收利用”的完整储能产业链。</w:t>
      </w:r>
    </w:p>
    <w:p w14:paraId="1572A022">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4.节能装备。</w:t>
      </w:r>
      <w:r>
        <w:rPr>
          <w:rFonts w:hint="eastAsia"/>
          <w:color w:val="auto"/>
          <w:highlight w:val="none"/>
        </w:rPr>
        <w:t xml:space="preserve">支持节能产业向高端发展，鼓励振华海科、扬电科技、华源防爆电机、腾天炉业提升节能装备技术水平。重点开发高效富氧节能炉、蓄热式燃烧技术装备、高效发电机组、余压余热回收递度利用技术设备、超节能高效中小型系列三相异步电动机、二氧化碳热泵与环保节能压缩机和机组、高效大面积双管板式换热器、耐热玻璃纤维增强塑料节能构件等产品生产。积极引入稀土永磁电机、高中低压变频调速器装置、永磁调速装置等装备制造项目。 </w:t>
      </w:r>
    </w:p>
    <w:p w14:paraId="6492EC1D">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cs="Times New Roman"/>
          <w:color w:val="auto"/>
          <w:highlight w:val="none"/>
        </w:rPr>
        <w:t>到2030年，新能源与节能产业规模突破3</w:t>
      </w:r>
      <w:r>
        <w:rPr>
          <w:rFonts w:hint="default" w:ascii="Times New Roman" w:hAnsi="Times New Roman" w:cs="Times New Roman"/>
          <w:color w:val="auto"/>
          <w:highlight w:val="none"/>
          <w:lang w:val="en-US" w:eastAsia="zh-CN"/>
        </w:rPr>
        <w:t>0</w:t>
      </w:r>
      <w:r>
        <w:rPr>
          <w:rFonts w:hint="default" w:ascii="Times New Roman" w:hAnsi="Times New Roman" w:cs="Times New Roman"/>
          <w:color w:val="auto"/>
          <w:highlight w:val="none"/>
        </w:rPr>
        <w:t>0亿元，建成具</w:t>
      </w:r>
      <w:r>
        <w:rPr>
          <w:rFonts w:hint="eastAsia"/>
          <w:color w:val="auto"/>
          <w:highlight w:val="none"/>
        </w:rPr>
        <w:t>有区域影响力的光伏、锂电产业</w:t>
      </w:r>
      <w:r>
        <w:rPr>
          <w:rFonts w:hint="eastAsia"/>
          <w:color w:val="auto"/>
          <w:highlight w:val="none"/>
          <w:lang w:val="en-US" w:eastAsia="zh-CN"/>
        </w:rPr>
        <w:t>及节能装备</w:t>
      </w:r>
      <w:r>
        <w:rPr>
          <w:rFonts w:hint="eastAsia"/>
          <w:color w:val="auto"/>
          <w:highlight w:val="none"/>
        </w:rPr>
        <w:t>研发制造基地。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9"/>
      </w:tblGrid>
      <w:tr w14:paraId="36B5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899" w:type="dxa"/>
            <w:noWrap w:val="0"/>
            <w:vAlign w:val="center"/>
          </w:tcPr>
          <w:p w14:paraId="76D6C5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32"/>
                <w:highlight w:val="none"/>
                <w:lang w:val="en-US" w:eastAsia="zh-CN"/>
              </w:rPr>
            </w:pPr>
            <w:r>
              <w:rPr>
                <w:rFonts w:hint="default" w:ascii="Times New Roman" w:hAnsi="Times New Roman" w:eastAsia="黑体" w:cs="Times New Roman"/>
                <w:color w:val="auto"/>
                <w:kern w:val="0"/>
                <w:sz w:val="24"/>
                <w:highlight w:val="none"/>
              </w:rPr>
              <w:t>专栏</w:t>
            </w:r>
            <w:r>
              <w:rPr>
                <w:rFonts w:hint="default" w:ascii="Times New Roman" w:hAnsi="Times New Roman" w:eastAsia="黑体" w:cs="Times New Roman"/>
                <w:color w:val="auto"/>
                <w:kern w:val="0"/>
                <w:sz w:val="24"/>
                <w:highlight w:val="none"/>
                <w:lang w:val="en-US" w:eastAsia="zh-CN"/>
              </w:rPr>
              <w:t>2</w:t>
            </w:r>
            <w:r>
              <w:rPr>
                <w:rFonts w:hint="default" w:ascii="Times New Roman" w:hAnsi="Times New Roman" w:eastAsia="黑体" w:cs="Times New Roman"/>
                <w:color w:val="auto"/>
                <w:kern w:val="0"/>
                <w:sz w:val="24"/>
                <w:highlight w:val="none"/>
              </w:rPr>
              <w:t xml:space="preserve">  两大优势产业</w:t>
            </w:r>
            <w:r>
              <w:rPr>
                <w:rFonts w:hint="default" w:ascii="Times New Roman" w:hAnsi="Times New Roman" w:eastAsia="黑体" w:cs="Times New Roman"/>
                <w:color w:val="auto"/>
                <w:kern w:val="0"/>
                <w:sz w:val="24"/>
                <w:highlight w:val="none"/>
                <w:lang w:val="en-US" w:eastAsia="zh-CN"/>
              </w:rPr>
              <w:t>重点项目</w:t>
            </w:r>
          </w:p>
        </w:tc>
      </w:tr>
      <w:tr w14:paraId="0A1B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9" w:type="dxa"/>
            <w:noWrap w:val="0"/>
            <w:vAlign w:val="center"/>
          </w:tcPr>
          <w:p w14:paraId="0D2DDED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lang w:val="en-US" w:eastAsia="zh-CN"/>
              </w:rPr>
              <w:t>1.汽车零部件油气海工装备产业项目：</w:t>
            </w:r>
            <w:r>
              <w:rPr>
                <w:rFonts w:hint="default" w:ascii="Times New Roman" w:hAnsi="Times New Roman" w:eastAsia="宋体" w:cs="Times New Roman"/>
                <w:color w:val="auto"/>
                <w:kern w:val="0"/>
                <w:sz w:val="24"/>
                <w:szCs w:val="24"/>
                <w:highlight w:val="none"/>
              </w:rPr>
              <w:t>精密制造产业园</w:t>
            </w:r>
            <w:r>
              <w:rPr>
                <w:rFonts w:hint="default"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strike w:val="0"/>
                <w:dstrike w:val="0"/>
                <w:color w:val="auto"/>
                <w:kern w:val="0"/>
                <w:sz w:val="24"/>
                <w:szCs w:val="24"/>
                <w:highlight w:val="none"/>
              </w:rPr>
              <w:t>汽车差速器电子锁生产研发项目</w:t>
            </w:r>
            <w:r>
              <w:rPr>
                <w:rFonts w:hint="default" w:ascii="Times New Roman" w:hAnsi="Times New Roman" w:eastAsia="宋体" w:cs="Times New Roman"/>
                <w:strike w:val="0"/>
                <w:dstrike w:val="0"/>
                <w:color w:val="auto"/>
                <w:kern w:val="0"/>
                <w:sz w:val="24"/>
                <w:szCs w:val="24"/>
                <w:highlight w:val="none"/>
                <w:lang w:eastAsia="zh-CN"/>
              </w:rPr>
              <w:t>、</w:t>
            </w:r>
            <w:r>
              <w:rPr>
                <w:rFonts w:hint="default" w:ascii="Times New Roman" w:hAnsi="Times New Roman" w:eastAsia="宋体" w:cs="Times New Roman"/>
                <w:strike w:val="0"/>
                <w:dstrike w:val="0"/>
                <w:color w:val="auto"/>
                <w:kern w:val="0"/>
                <w:sz w:val="24"/>
                <w:szCs w:val="24"/>
                <w:highlight w:val="none"/>
              </w:rPr>
              <w:t>钧风电控高压共轨制造项目</w:t>
            </w:r>
            <w:r>
              <w:rPr>
                <w:rFonts w:hint="default" w:ascii="Times New Roman" w:hAnsi="Times New Roman" w:eastAsia="宋体" w:cs="Times New Roman"/>
                <w:strike w:val="0"/>
                <w:dstrike w:val="0"/>
                <w:color w:val="auto"/>
                <w:kern w:val="0"/>
                <w:sz w:val="24"/>
                <w:szCs w:val="24"/>
                <w:highlight w:val="none"/>
                <w:lang w:eastAsia="zh-CN"/>
              </w:rPr>
              <w:t>、</w:t>
            </w:r>
            <w:r>
              <w:rPr>
                <w:rFonts w:hint="default" w:ascii="Times New Roman" w:hAnsi="Times New Roman" w:eastAsia="宋体" w:cs="Times New Roman"/>
                <w:strike w:val="0"/>
                <w:dstrike w:val="0"/>
                <w:color w:val="auto"/>
                <w:kern w:val="0"/>
                <w:sz w:val="24"/>
                <w:szCs w:val="24"/>
                <w:highlight w:val="none"/>
              </w:rPr>
              <w:t>电力系统智能化配件项目</w:t>
            </w:r>
            <w:r>
              <w:rPr>
                <w:rFonts w:hint="default" w:ascii="Times New Roman" w:hAnsi="Times New Roman" w:eastAsia="宋体" w:cs="Times New Roman"/>
                <w:strike w:val="0"/>
                <w:dstrike w:val="0"/>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特种合金材料项目</w:t>
            </w:r>
            <w:r>
              <w:rPr>
                <w:rFonts w:hint="default" w:ascii="Times New Roman" w:hAnsi="Times New Roman" w:eastAsia="宋体" w:cs="Times New Roman"/>
                <w:color w:val="auto"/>
                <w:kern w:val="0"/>
                <w:sz w:val="24"/>
                <w:szCs w:val="24"/>
                <w:highlight w:val="none"/>
                <w:lang w:val="en-US" w:eastAsia="zh-CN"/>
              </w:rPr>
              <w:t>、</w:t>
            </w:r>
            <w:r>
              <w:rPr>
                <w:rFonts w:hint="default" w:ascii="Times New Roman" w:hAnsi="Times New Roman" w:eastAsia="宋体" w:cs="Times New Roman"/>
                <w:color w:val="auto"/>
                <w:kern w:val="0"/>
                <w:sz w:val="24"/>
                <w:szCs w:val="24"/>
                <w:highlight w:val="none"/>
              </w:rPr>
              <w:t>船用配套设备制造项目</w:t>
            </w:r>
            <w:r>
              <w:rPr>
                <w:rFonts w:hint="default" w:ascii="Times New Roman" w:hAnsi="Times New Roman" w:eastAsia="宋体" w:cs="Times New Roman"/>
                <w:color w:val="auto"/>
                <w:kern w:val="0"/>
                <w:sz w:val="24"/>
                <w:szCs w:val="24"/>
                <w:highlight w:val="none"/>
                <w:lang w:eastAsia="zh-CN"/>
              </w:rPr>
              <w:t>。</w:t>
            </w:r>
          </w:p>
          <w:p w14:paraId="0746EB6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kern w:val="0"/>
                <w:sz w:val="24"/>
                <w:highlight w:val="none"/>
              </w:rPr>
            </w:pPr>
            <w:r>
              <w:rPr>
                <w:rFonts w:hint="default" w:ascii="Times New Roman" w:hAnsi="Times New Roman" w:eastAsia="宋体" w:cs="Times New Roman"/>
                <w:color w:val="auto"/>
                <w:kern w:val="0"/>
                <w:sz w:val="24"/>
                <w:szCs w:val="24"/>
                <w:highlight w:val="none"/>
                <w:lang w:val="en-US" w:eastAsia="zh-CN"/>
              </w:rPr>
              <w:t>2.新能源产业项目：新型储能零碳产业园项目、智能一体式变压器项目、新能源环保电缆智能制造中心项目、大唐泰州二期燃机项目、光伏系统用电缆智能制造中心项目、高压特高压气体绝缘金属封闭输电线路（GIL）生产制造项目。</w:t>
            </w:r>
          </w:p>
        </w:tc>
      </w:tr>
    </w:tbl>
    <w:p w14:paraId="799BBC9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66" w:name="_Toc7535"/>
      <w:r>
        <w:rPr>
          <w:rFonts w:hint="eastAsia" w:ascii="Times New Roman" w:hAnsi="Times New Roman" w:eastAsia="黑体" w:cs="Times New Roman"/>
          <w:color w:val="auto"/>
          <w:sz w:val="32"/>
          <w:szCs w:val="32"/>
          <w:highlight w:val="none"/>
        </w:rPr>
        <w:t>第三节 培育壮大</w:t>
      </w:r>
      <w:r>
        <w:rPr>
          <w:rFonts w:hint="eastAsia" w:ascii="Times New Roman" w:hAnsi="Times New Roman" w:eastAsia="黑体" w:cs="Times New Roman"/>
          <w:color w:val="auto"/>
          <w:sz w:val="32"/>
          <w:szCs w:val="32"/>
          <w:highlight w:val="none"/>
          <w:lang w:val="en-US" w:eastAsia="zh-CN"/>
        </w:rPr>
        <w:t>两大</w:t>
      </w:r>
      <w:r>
        <w:rPr>
          <w:rFonts w:hint="eastAsia" w:ascii="Times New Roman" w:hAnsi="Times New Roman" w:eastAsia="黑体" w:cs="Times New Roman"/>
          <w:color w:val="auto"/>
          <w:sz w:val="32"/>
          <w:szCs w:val="32"/>
          <w:highlight w:val="none"/>
        </w:rPr>
        <w:t>新兴产业</w:t>
      </w:r>
      <w:bookmarkEnd w:id="166"/>
    </w:p>
    <w:p w14:paraId="03837373">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2"/>
        <w:rPr>
          <w:rFonts w:hint="eastAsia" w:ascii="楷体" w:hAnsi="楷体" w:eastAsia="楷体" w:cs="楷体"/>
          <w:color w:val="auto"/>
          <w:highlight w:val="none"/>
          <w:lang w:val="en-US" w:eastAsia="zh-CN"/>
        </w:rPr>
      </w:pPr>
      <w:r>
        <w:rPr>
          <w:rFonts w:hint="eastAsia" w:ascii="楷体" w:hAnsi="楷体" w:eastAsia="楷体" w:cs="楷体"/>
          <w:color w:val="auto"/>
          <w:highlight w:val="none"/>
        </w:rPr>
        <w:t>（一）医药</w:t>
      </w:r>
      <w:r>
        <w:rPr>
          <w:rFonts w:hint="eastAsia" w:ascii="楷体" w:hAnsi="楷体" w:eastAsia="楷体" w:cs="楷体"/>
          <w:color w:val="auto"/>
          <w:highlight w:val="none"/>
          <w:lang w:val="en-US" w:eastAsia="zh-CN"/>
        </w:rPr>
        <w:t>健康产业</w:t>
      </w:r>
    </w:p>
    <w:p w14:paraId="7FF1A4D2">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1.医药</w:t>
      </w:r>
      <w:r>
        <w:rPr>
          <w:rFonts w:hint="eastAsia" w:ascii="楷体" w:hAnsi="楷体" w:eastAsia="楷体" w:cs="楷体"/>
          <w:color w:val="auto"/>
          <w:highlight w:val="none"/>
          <w:lang w:val="en-US" w:eastAsia="zh-CN"/>
        </w:rPr>
        <w:t>制造</w:t>
      </w:r>
      <w:r>
        <w:rPr>
          <w:rFonts w:hint="eastAsia" w:ascii="楷体" w:hAnsi="楷体" w:eastAsia="楷体" w:cs="楷体"/>
          <w:color w:val="auto"/>
          <w:highlight w:val="none"/>
        </w:rPr>
        <w:t>。</w:t>
      </w:r>
      <w:r>
        <w:rPr>
          <w:rFonts w:hint="eastAsia"/>
          <w:color w:val="auto"/>
          <w:highlight w:val="none"/>
        </w:rPr>
        <w:t>围绕肾脏疾病、呼吸系统疾病、心脑血管疾病等优势领域，以及妇科、抗衰老等潜力领域，支持基于中医经典名方、院内制剂和中药有效部位成分的新药研发。支持对“黄葵胶囊”等现有大品种进行循证医学研究、作用机理深入阐释和剂型改良，延长产品生命周期</w:t>
      </w:r>
      <w:r>
        <w:rPr>
          <w:rFonts w:hint="eastAsia"/>
          <w:color w:val="auto"/>
          <w:highlight w:val="none"/>
          <w:lang w:eastAsia="zh-CN"/>
        </w:rPr>
        <w:t>。支持修正生物医药（泰州）研究院全面投入运营，并升级为区域性中试与成果转化基地，面向全区企业开放共享大型仪器设备和研发服务。</w:t>
      </w:r>
      <w:r>
        <w:rPr>
          <w:rFonts w:hint="eastAsia"/>
          <w:color w:val="auto"/>
          <w:highlight w:val="none"/>
        </w:rPr>
        <w:t>发展健康食品、特医食品、保健食品、功能性化妆品等，推动中医药与现代健康理念融合，开发药食同源产品。</w:t>
      </w:r>
    </w:p>
    <w:p w14:paraId="53C3A15B">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2.医疗器械。</w:t>
      </w:r>
      <w:r>
        <w:rPr>
          <w:rFonts w:hint="eastAsia"/>
          <w:color w:val="auto"/>
          <w:highlight w:val="none"/>
        </w:rPr>
        <w:t>重点发展高性能医学影像设备、体外诊断仪器及试剂、高端植介入器械、医用耗材等高端医疗器械与装备。突破关键核心部件与高价值医用材料进口依赖局面，发展基于人工智能的辅助诊断系统、远程医疗设备、可穿戴健康监测设备等智慧医疗产品。鼓励企业发展“产品+服务”模式，提供健康管理、数字疗法等整体解决方案。</w:t>
      </w:r>
    </w:p>
    <w:p w14:paraId="48F7A511">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到2030年，医药</w:t>
      </w:r>
      <w:r>
        <w:rPr>
          <w:rFonts w:hint="default" w:ascii="Times New Roman" w:hAnsi="Times New Roman" w:cs="Times New Roman"/>
          <w:color w:val="auto"/>
          <w:highlight w:val="none"/>
          <w:lang w:val="en-US" w:eastAsia="zh-CN"/>
        </w:rPr>
        <w:t>健康</w:t>
      </w:r>
      <w:r>
        <w:rPr>
          <w:rFonts w:hint="default" w:ascii="Times New Roman" w:hAnsi="Times New Roman" w:cs="Times New Roman"/>
          <w:color w:val="auto"/>
          <w:highlight w:val="none"/>
        </w:rPr>
        <w:t>产业规模力争达到100亿元。</w:t>
      </w:r>
    </w:p>
    <w:p w14:paraId="0CB9C49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2"/>
        <w:rPr>
          <w:rFonts w:hint="eastAsia" w:ascii="楷体" w:hAnsi="楷体" w:eastAsia="楷体" w:cs="楷体"/>
          <w:color w:val="auto"/>
          <w:highlight w:val="none"/>
          <w:lang w:val="en-US" w:eastAsia="zh-CN"/>
        </w:rPr>
      </w:pPr>
      <w:r>
        <w:rPr>
          <w:rFonts w:hint="eastAsia" w:ascii="楷体" w:hAnsi="楷体" w:eastAsia="楷体" w:cs="楷体"/>
          <w:color w:val="auto"/>
          <w:highlight w:val="none"/>
        </w:rPr>
        <w:t>（二）</w:t>
      </w:r>
      <w:r>
        <w:rPr>
          <w:rFonts w:hint="eastAsia" w:ascii="楷体" w:hAnsi="楷体" w:eastAsia="楷体" w:cs="楷体"/>
          <w:color w:val="auto"/>
          <w:highlight w:val="none"/>
          <w:lang w:val="en-US" w:eastAsia="zh-CN"/>
        </w:rPr>
        <w:t>新一代</w:t>
      </w:r>
      <w:r>
        <w:rPr>
          <w:rFonts w:hint="eastAsia" w:ascii="楷体" w:hAnsi="楷体" w:eastAsia="楷体" w:cs="楷体"/>
          <w:color w:val="auto"/>
          <w:highlight w:val="none"/>
        </w:rPr>
        <w:t>信息</w:t>
      </w:r>
      <w:r>
        <w:rPr>
          <w:rFonts w:hint="eastAsia" w:ascii="楷体" w:hAnsi="楷体" w:eastAsia="楷体" w:cs="楷体"/>
          <w:color w:val="auto"/>
          <w:highlight w:val="none"/>
          <w:lang w:val="en-US" w:eastAsia="zh-CN"/>
        </w:rPr>
        <w:t>技术产业</w:t>
      </w:r>
    </w:p>
    <w:p w14:paraId="6B763107">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以开发区、高新区为核心承载平台，聚焦电子信息产业集群化发展，依托亚电科技、航菱微、华芯半导体、华脉光电、正帆半导体等重点企业，构建“双园联动、龙头引领”的发展格局。开发区重点布局半导体设备及配套零部件等重点环节，推动亚电科技升级半导体湿法清洗设备，</w:t>
      </w:r>
      <w:r>
        <w:rPr>
          <w:rFonts w:hint="default" w:ascii="Times New Roman" w:hAnsi="Times New Roman" w:cs="Times New Roman"/>
          <w:color w:val="auto"/>
          <w:highlight w:val="none"/>
        </w:rPr>
        <w:t>加快28/14nm</w:t>
      </w:r>
      <w:r>
        <w:rPr>
          <w:rFonts w:hint="eastAsia"/>
          <w:color w:val="auto"/>
          <w:highlight w:val="none"/>
        </w:rPr>
        <w:t>工艺节点、单片高温硫酸等特殊工艺产品的技术开发及验证，支持航菱微开展半导体专用设备模组研发创新，实现双层硬质阳极氧化膜、纳米涂层等铝合金表面处理技术商业化应用；高新区侧重发展光通信芯片模组、光纤光缆等细分领域，支持华芯半导体深耕光通信芯片设计与封装测试，扩大砷化镓外延片生产能力，助力华脉光电拓展光纤光缆产业规模与产品类型、正帆半导体专注高纯气体输送设备创新升级。通过强化双园产业链协同与资源共享，补齐关键材料、核心零部件等短板，推动电子信息产业向高端化、智能化、绿色化转型，深化产学研协同创新，培育配套中小企业梯队，全力打造特色鲜明、链条完整的百亿级电子信息产业集群。</w:t>
      </w:r>
    </w:p>
    <w:p w14:paraId="3D06C027">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到2030年，</w:t>
      </w:r>
      <w:r>
        <w:rPr>
          <w:rFonts w:hint="default" w:ascii="Times New Roman" w:hAnsi="Times New Roman" w:cs="Times New Roman"/>
          <w:color w:val="auto"/>
          <w:highlight w:val="none"/>
          <w:lang w:val="en-US" w:eastAsia="zh-CN"/>
        </w:rPr>
        <w:t>新一代</w:t>
      </w:r>
      <w:r>
        <w:rPr>
          <w:rFonts w:hint="default" w:ascii="Times New Roman" w:hAnsi="Times New Roman" w:cs="Times New Roman"/>
          <w:color w:val="auto"/>
          <w:highlight w:val="none"/>
        </w:rPr>
        <w:t>信息</w:t>
      </w:r>
      <w:r>
        <w:rPr>
          <w:rFonts w:hint="default" w:ascii="Times New Roman" w:hAnsi="Times New Roman" w:cs="Times New Roman"/>
          <w:color w:val="auto"/>
          <w:highlight w:val="none"/>
          <w:lang w:val="en-US" w:eastAsia="zh-CN"/>
        </w:rPr>
        <w:t>技术</w:t>
      </w:r>
      <w:r>
        <w:rPr>
          <w:rFonts w:hint="default" w:ascii="Times New Roman" w:hAnsi="Times New Roman" w:cs="Times New Roman"/>
          <w:color w:val="auto"/>
          <w:highlight w:val="none"/>
        </w:rPr>
        <w:t>产业规模突破150亿元，产业创新能力显著增强，成为推动全区产业转型升级的核心驱动力。</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9"/>
      </w:tblGrid>
      <w:tr w14:paraId="2AEE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849" w:type="dxa"/>
            <w:noWrap w:val="0"/>
            <w:vAlign w:val="center"/>
          </w:tcPr>
          <w:p w14:paraId="6E0971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黑体_GBK" w:cs="Times New Roman"/>
                <w:color w:val="auto"/>
                <w:sz w:val="32"/>
                <w:highlight w:val="none"/>
                <w:lang w:val="en-US" w:eastAsia="zh-CN"/>
              </w:rPr>
            </w:pPr>
            <w:r>
              <w:rPr>
                <w:rFonts w:hint="default" w:ascii="Times New Roman" w:hAnsi="Times New Roman" w:eastAsia="黑体" w:cs="Times New Roman"/>
                <w:color w:val="auto"/>
                <w:kern w:val="0"/>
                <w:sz w:val="24"/>
                <w:highlight w:val="none"/>
              </w:rPr>
              <w:t>专栏</w:t>
            </w:r>
            <w:r>
              <w:rPr>
                <w:rFonts w:hint="default" w:ascii="Times New Roman" w:hAnsi="Times New Roman" w:eastAsia="黑体" w:cs="Times New Roman"/>
                <w:color w:val="auto"/>
                <w:kern w:val="0"/>
                <w:sz w:val="24"/>
                <w:highlight w:val="none"/>
                <w:lang w:val="en-US" w:eastAsia="zh-CN"/>
              </w:rPr>
              <w:t>3</w:t>
            </w:r>
            <w:r>
              <w:rPr>
                <w:rFonts w:hint="default" w:ascii="Times New Roman" w:hAnsi="Times New Roman" w:eastAsia="黑体" w:cs="Times New Roman"/>
                <w:color w:val="auto"/>
                <w:kern w:val="0"/>
                <w:sz w:val="24"/>
                <w:highlight w:val="none"/>
              </w:rPr>
              <w:t xml:space="preserve">  两大</w:t>
            </w:r>
            <w:r>
              <w:rPr>
                <w:rFonts w:hint="default" w:ascii="Times New Roman" w:hAnsi="Times New Roman" w:eastAsia="黑体" w:cs="Times New Roman"/>
                <w:color w:val="auto"/>
                <w:kern w:val="0"/>
                <w:sz w:val="24"/>
                <w:highlight w:val="none"/>
                <w:lang w:val="en-US" w:eastAsia="zh-CN"/>
              </w:rPr>
              <w:t>新兴</w:t>
            </w:r>
            <w:r>
              <w:rPr>
                <w:rFonts w:hint="default" w:ascii="Times New Roman" w:hAnsi="Times New Roman" w:eastAsia="黑体" w:cs="Times New Roman"/>
                <w:color w:val="auto"/>
                <w:kern w:val="0"/>
                <w:sz w:val="24"/>
                <w:highlight w:val="none"/>
              </w:rPr>
              <w:t>产业</w:t>
            </w:r>
            <w:r>
              <w:rPr>
                <w:rFonts w:hint="default" w:ascii="Times New Roman" w:hAnsi="Times New Roman" w:eastAsia="黑体" w:cs="Times New Roman"/>
                <w:color w:val="auto"/>
                <w:kern w:val="0"/>
                <w:sz w:val="24"/>
                <w:highlight w:val="none"/>
                <w:lang w:val="en-US" w:eastAsia="zh-CN"/>
              </w:rPr>
              <w:t>重点项目</w:t>
            </w:r>
          </w:p>
        </w:tc>
      </w:tr>
      <w:tr w14:paraId="03023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9" w:type="dxa"/>
            <w:noWrap w:val="0"/>
            <w:vAlign w:val="center"/>
          </w:tcPr>
          <w:p w14:paraId="52347F9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宋体" w:cs="Times New Roman"/>
                <w:color w:val="auto"/>
                <w:kern w:val="0"/>
                <w:sz w:val="24"/>
                <w:szCs w:val="24"/>
                <w:highlight w:val="none"/>
                <w:lang w:val="en-US" w:eastAsia="zh-CN"/>
              </w:rPr>
            </w:pPr>
            <w:r>
              <w:rPr>
                <w:rFonts w:hint="default" w:ascii="Times New Roman" w:hAnsi="Times New Roman" w:eastAsia="宋体" w:cs="Times New Roman"/>
                <w:color w:val="auto"/>
                <w:kern w:val="0"/>
                <w:sz w:val="24"/>
                <w:szCs w:val="24"/>
                <w:highlight w:val="none"/>
                <w:lang w:val="en-US" w:eastAsia="zh-CN"/>
              </w:rPr>
              <w:t>1.医药健康产业项目：苏中药业生物医药产业园、修正药业华东研发制造中心、康健医疗洁净自动化车间项目、大健康产业园、医用纱布片、绷带、急救毯等药用辅料及包装材料生产项目。</w:t>
            </w:r>
          </w:p>
          <w:p w14:paraId="12E168C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方正仿宋_GBK" w:cs="Times New Roman"/>
                <w:color w:val="auto"/>
                <w:kern w:val="0"/>
                <w:sz w:val="24"/>
                <w:highlight w:val="none"/>
              </w:rPr>
            </w:pPr>
            <w:r>
              <w:rPr>
                <w:rFonts w:hint="default" w:ascii="Times New Roman" w:hAnsi="Times New Roman" w:eastAsia="宋体" w:cs="Times New Roman"/>
                <w:color w:val="auto"/>
                <w:kern w:val="0"/>
                <w:sz w:val="24"/>
                <w:szCs w:val="24"/>
                <w:highlight w:val="none"/>
                <w:lang w:val="en-US" w:eastAsia="zh-CN"/>
              </w:rPr>
              <w:t>2.新一代信息技术项目：电子信息产业园、半导体干法零部件项目、高端半导体设备产业化及先进制程半导体工艺研发试制项目、超高纯特种气体及化学品输送装备、分流装备的生产制造项目。</w:t>
            </w:r>
          </w:p>
        </w:tc>
      </w:tr>
    </w:tbl>
    <w:p w14:paraId="5EEBB4F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67" w:name="_Toc18926"/>
      <w:r>
        <w:rPr>
          <w:rFonts w:hint="eastAsia" w:ascii="Times New Roman" w:hAnsi="Times New Roman" w:eastAsia="黑体" w:cs="Times New Roman"/>
          <w:color w:val="auto"/>
          <w:sz w:val="32"/>
          <w:szCs w:val="32"/>
          <w:highlight w:val="none"/>
        </w:rPr>
        <w:t>第四节 探索发展</w:t>
      </w:r>
      <w:r>
        <w:rPr>
          <w:rFonts w:hint="eastAsia" w:ascii="Times New Roman" w:hAnsi="Times New Roman" w:eastAsia="黑体" w:cs="Times New Roman"/>
          <w:color w:val="auto"/>
          <w:sz w:val="32"/>
          <w:szCs w:val="32"/>
          <w:highlight w:val="none"/>
          <w:lang w:eastAsia="zh-CN"/>
        </w:rPr>
        <w:t>“</w:t>
      </w:r>
      <w:r>
        <w:rPr>
          <w:rFonts w:hint="eastAsia" w:ascii="Times New Roman" w:hAnsi="Times New Roman" w:eastAsia="黑体" w:cs="Times New Roman"/>
          <w:color w:val="auto"/>
          <w:sz w:val="32"/>
          <w:szCs w:val="32"/>
          <w:highlight w:val="none"/>
          <w:lang w:val="en-US" w:eastAsia="zh-CN"/>
        </w:rPr>
        <w:t>X”个</w:t>
      </w:r>
      <w:r>
        <w:rPr>
          <w:rFonts w:hint="eastAsia" w:ascii="Times New Roman" w:hAnsi="Times New Roman" w:eastAsia="黑体" w:cs="Times New Roman"/>
          <w:color w:val="auto"/>
          <w:sz w:val="32"/>
          <w:szCs w:val="32"/>
          <w:highlight w:val="none"/>
        </w:rPr>
        <w:t>未来产业</w:t>
      </w:r>
      <w:bookmarkEnd w:id="167"/>
    </w:p>
    <w:p w14:paraId="6B4E01B6">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（一）商</w:t>
      </w:r>
      <w:r>
        <w:rPr>
          <w:rFonts w:hint="eastAsia" w:ascii="楷体" w:hAnsi="楷体" w:eastAsia="楷体" w:cs="楷体"/>
          <w:color w:val="auto"/>
          <w:highlight w:val="none"/>
          <w:lang w:val="en-US" w:eastAsia="zh-CN"/>
        </w:rPr>
        <w:t>业</w:t>
      </w:r>
      <w:r>
        <w:rPr>
          <w:rFonts w:hint="eastAsia" w:ascii="楷体" w:hAnsi="楷体" w:eastAsia="楷体" w:cs="楷体"/>
          <w:color w:val="auto"/>
          <w:highlight w:val="none"/>
        </w:rPr>
        <w:t>航天</w:t>
      </w:r>
      <w:r>
        <w:rPr>
          <w:rFonts w:hint="eastAsia" w:ascii="楷体" w:hAnsi="楷体" w:eastAsia="楷体" w:cs="楷体"/>
          <w:color w:val="auto"/>
          <w:highlight w:val="none"/>
          <w:lang w:val="en-US" w:eastAsia="zh-CN"/>
        </w:rPr>
        <w:t>器</w:t>
      </w:r>
      <w:r>
        <w:rPr>
          <w:rFonts w:hint="eastAsia" w:ascii="楷体" w:hAnsi="楷体" w:eastAsia="楷体" w:cs="楷体"/>
          <w:color w:val="auto"/>
          <w:highlight w:val="none"/>
        </w:rPr>
        <w:t>。</w:t>
      </w:r>
      <w:r>
        <w:rPr>
          <w:rFonts w:hint="eastAsia"/>
          <w:color w:val="auto"/>
          <w:highlight w:val="none"/>
        </w:rPr>
        <w:t>依托汽车零部件、油气装备等领域积累的精密加工与总成能力，精准切入卫星平台精密结构件、箭体连接件等商业航天器细分配套领域。积极参与江苏省航空航天集群创新合作对接会等活动，主动融入区域产业生态。着力引育一批商业航天领域的链主企业、产业链关键企业和终端产品企业。</w:t>
      </w:r>
    </w:p>
    <w:p w14:paraId="0B0F1105">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（二）</w:t>
      </w:r>
      <w:r>
        <w:rPr>
          <w:rFonts w:hint="eastAsia" w:ascii="楷体" w:hAnsi="楷体" w:eastAsia="楷体" w:cs="楷体"/>
          <w:color w:val="auto"/>
          <w:highlight w:val="none"/>
          <w:lang w:val="en-US" w:eastAsia="zh-CN"/>
        </w:rPr>
        <w:t>机器人</w:t>
      </w:r>
      <w:r>
        <w:rPr>
          <w:rFonts w:hint="eastAsia" w:ascii="楷体" w:hAnsi="楷体" w:eastAsia="楷体" w:cs="楷体"/>
          <w:color w:val="auto"/>
          <w:highlight w:val="none"/>
        </w:rPr>
        <w:t>。</w:t>
      </w:r>
      <w:r>
        <w:rPr>
          <w:rFonts w:hint="eastAsia"/>
          <w:color w:val="auto"/>
          <w:highlight w:val="none"/>
        </w:rPr>
        <w:t>战略布局人形机器人的关节、高精度丝杠与电机驱动模组等核心零部件的研发与量产，支持领军企业借力外部顶尖科研资源攻关智能感知与控制等关键技术，建设具身智能创新中心与数据训练平台，优先在本地优势制造业场景中开展示范应用。</w:t>
      </w:r>
    </w:p>
    <w:p w14:paraId="6CD93687">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eastAsia="方正仿宋_GB2312"/>
          <w:color w:val="auto"/>
          <w:highlight w:val="none"/>
          <w:lang w:val="en-US" w:eastAsia="zh-CN"/>
        </w:rPr>
      </w:pPr>
      <w:r>
        <w:rPr>
          <w:rFonts w:hint="eastAsia" w:ascii="楷体" w:hAnsi="楷体" w:eastAsia="楷体" w:cs="楷体"/>
          <w:color w:val="auto"/>
          <w:highlight w:val="none"/>
        </w:rPr>
        <w:t>（三）低空</w:t>
      </w:r>
      <w:r>
        <w:rPr>
          <w:rFonts w:hint="eastAsia" w:ascii="楷体" w:hAnsi="楷体" w:eastAsia="楷体" w:cs="楷体"/>
          <w:color w:val="auto"/>
          <w:highlight w:val="none"/>
          <w:lang w:val="en-US" w:eastAsia="zh-CN"/>
        </w:rPr>
        <w:t>制造</w:t>
      </w:r>
      <w:r>
        <w:rPr>
          <w:rFonts w:hint="eastAsia" w:ascii="楷体" w:hAnsi="楷体" w:eastAsia="楷体" w:cs="楷体"/>
          <w:color w:val="auto"/>
          <w:highlight w:val="none"/>
        </w:rPr>
        <w:t>。</w:t>
      </w:r>
      <w:r>
        <w:rPr>
          <w:rFonts w:hint="eastAsia"/>
          <w:color w:val="auto"/>
          <w:highlight w:val="none"/>
        </w:rPr>
        <w:t>依托精密制造产业基础，重点聚焦工业级无人机和电动垂直起降航</w:t>
      </w:r>
      <w:r>
        <w:rPr>
          <w:rFonts w:hint="default" w:ascii="Times New Roman" w:hAnsi="Times New Roman" w:cs="Times New Roman"/>
          <w:color w:val="auto"/>
          <w:highlight w:val="none"/>
        </w:rPr>
        <w:t>空器（eVTOL）的飞</w:t>
      </w:r>
      <w:r>
        <w:rPr>
          <w:rFonts w:hint="eastAsia"/>
          <w:color w:val="auto"/>
          <w:highlight w:val="none"/>
        </w:rPr>
        <w:t>控系统、动力系统、核心零部件等高端配套领域。推动建设低空制造产业中试平台等创新载体。在应急救援、国土测绘等公共服务领域开展示范应用，以场景需求牵引产品研发与产业化，打造区域低空制造配套高地。建设低空智联网，部署无人机起降点，开展物流配送、应急救援等创新</w:t>
      </w:r>
      <w:r>
        <w:rPr>
          <w:rFonts w:hint="default" w:ascii="Times New Roman" w:hAnsi="Times New Roman" w:cs="Times New Roman"/>
          <w:color w:val="auto"/>
          <w:highlight w:val="none"/>
        </w:rPr>
        <w:t>应用。</w:t>
      </w:r>
      <w:r>
        <w:rPr>
          <w:rFonts w:hint="default" w:ascii="Times New Roman" w:hAnsi="Times New Roman" w:cs="Times New Roman"/>
          <w:color w:val="auto"/>
          <w:highlight w:val="none"/>
          <w:lang w:val="en-US" w:eastAsia="zh-CN"/>
        </w:rPr>
        <w:t>到2030年，未来产业规上产值实现100亿元。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6"/>
      </w:tblGrid>
      <w:tr w14:paraId="3235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6" w:type="dxa"/>
            <w:noWrap w:val="0"/>
            <w:vAlign w:val="top"/>
          </w:tcPr>
          <w:p w14:paraId="58BA38E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color w:val="auto"/>
                <w:kern w:val="0"/>
                <w:sz w:val="24"/>
                <w:szCs w:val="24"/>
                <w:highlight w:val="none"/>
                <w:vertAlign w:val="baseline"/>
                <w:lang w:val="en-US" w:eastAsia="zh-CN"/>
              </w:rPr>
            </w:pPr>
            <w:r>
              <w:rPr>
                <w:rFonts w:hint="default" w:ascii="Times New Roman" w:hAnsi="Times New Roman" w:eastAsia="黑体" w:cs="Times New Roman"/>
                <w:color w:val="auto"/>
                <w:kern w:val="0"/>
                <w:sz w:val="24"/>
                <w:szCs w:val="24"/>
                <w:highlight w:val="none"/>
                <w:vertAlign w:val="baseline"/>
                <w:lang w:val="en-US" w:eastAsia="zh-CN"/>
              </w:rPr>
              <w:t>专栏4 未来产业重点项目</w:t>
            </w:r>
          </w:p>
        </w:tc>
      </w:tr>
      <w:tr w14:paraId="0CF5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6" w:type="dxa"/>
            <w:noWrap w:val="0"/>
            <w:vAlign w:val="top"/>
          </w:tcPr>
          <w:p w14:paraId="291A25A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kern w:val="0"/>
                <w:sz w:val="24"/>
                <w:szCs w:val="24"/>
                <w:highlight w:val="none"/>
                <w:vertAlign w:val="baseline"/>
                <w:lang w:val="en-US" w:eastAsia="zh-CN"/>
              </w:rPr>
            </w:pPr>
            <w:r>
              <w:rPr>
                <w:rFonts w:hint="default" w:ascii="Times New Roman" w:hAnsi="Times New Roman" w:eastAsia="宋体" w:cs="Times New Roman"/>
                <w:color w:val="auto"/>
                <w:kern w:val="0"/>
                <w:sz w:val="24"/>
                <w:szCs w:val="24"/>
                <w:highlight w:val="none"/>
                <w:vertAlign w:val="baseline"/>
                <w:lang w:val="en-US" w:eastAsia="zh-CN"/>
              </w:rPr>
              <w:t xml:space="preserve">高性能电驱系统项目、服务机器人产业园项目（二期）、工业、服务消费机器人及核心零部件项目、算力中心项目、航空航天用微波稳相电缆及传输组件项目。 </w:t>
            </w:r>
          </w:p>
        </w:tc>
      </w:tr>
    </w:tbl>
    <w:p w14:paraId="655A36A8">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p>
    <w:p w14:paraId="29632D0F">
      <w:pPr>
        <w:rPr>
          <w:rFonts w:hint="eastAsia" w:ascii="Times New Roman" w:hAnsi="Times New Roman" w:eastAsia="方正小标宋_GBK" w:cs="Times New Roman"/>
          <w:color w:val="auto"/>
          <w:spacing w:val="11"/>
          <w:kern w:val="44"/>
          <w:sz w:val="36"/>
          <w:szCs w:val="36"/>
          <w:lang w:val="en-US" w:eastAsia="zh-CN" w:bidi="ar-SA"/>
        </w:rPr>
      </w:pPr>
      <w:bookmarkStart w:id="168" w:name="_Toc18287"/>
      <w:r>
        <w:rPr>
          <w:rFonts w:hint="eastAsia" w:ascii="Times New Roman" w:hAnsi="Times New Roman" w:eastAsia="方正小标宋_GBK" w:cs="Times New Roman"/>
          <w:color w:val="auto"/>
          <w:spacing w:val="11"/>
          <w:kern w:val="44"/>
          <w:sz w:val="36"/>
          <w:szCs w:val="36"/>
          <w:lang w:val="en-US" w:eastAsia="zh-CN" w:bidi="ar-SA"/>
        </w:rPr>
        <w:br w:type="page"/>
      </w:r>
    </w:p>
    <w:p w14:paraId="1955351C">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lang w:val="en-US" w:eastAsia="zh-CN" w:bidi="ar-SA"/>
        </w:rPr>
      </w:pPr>
    </w:p>
    <w:p w14:paraId="7977BDBF">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rPr>
      </w:pPr>
      <w:r>
        <w:rPr>
          <w:rFonts w:hint="eastAsia" w:ascii="Times New Roman" w:hAnsi="Times New Roman" w:eastAsia="方正小标宋_GBK" w:cs="Times New Roman"/>
          <w:color w:val="auto"/>
          <w:spacing w:val="11"/>
          <w:kern w:val="44"/>
          <w:sz w:val="36"/>
          <w:szCs w:val="36"/>
          <w:lang w:val="en-US" w:eastAsia="zh-CN" w:bidi="ar-SA"/>
        </w:rPr>
        <w:t xml:space="preserve">第四章 </w:t>
      </w:r>
      <w:r>
        <w:rPr>
          <w:rFonts w:hint="eastAsia" w:ascii="Times New Roman" w:hAnsi="Times New Roman" w:eastAsia="方正小标宋_GBK" w:cs="Times New Roman"/>
          <w:color w:val="auto"/>
          <w:spacing w:val="11"/>
          <w:kern w:val="44"/>
          <w:sz w:val="36"/>
          <w:szCs w:val="36"/>
        </w:rPr>
        <w:t>聚焦核心任务，推动高质量发展</w:t>
      </w:r>
      <w:bookmarkEnd w:id="168"/>
    </w:p>
    <w:p w14:paraId="721C0E73">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围绕“十五五”时期发展目标，聚焦关键环节和重点领域，实施一系列具有针对性、可操作性的核心任务，着力破解发展瓶颈，激发内生动力，全面推动姜堰区工业和信息化高质量发展。</w:t>
      </w:r>
    </w:p>
    <w:p w14:paraId="20CF863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69" w:name="_Toc31906"/>
      <w:r>
        <w:rPr>
          <w:rFonts w:hint="eastAsia" w:ascii="Times New Roman" w:hAnsi="Times New Roman" w:eastAsia="黑体" w:cs="Times New Roman"/>
          <w:color w:val="auto"/>
          <w:sz w:val="32"/>
          <w:szCs w:val="32"/>
          <w:highlight w:val="none"/>
        </w:rPr>
        <w:t xml:space="preserve">第一节 </w:t>
      </w:r>
      <w:r>
        <w:rPr>
          <w:rFonts w:hint="eastAsia" w:ascii="Times New Roman" w:hAnsi="Times New Roman" w:eastAsia="黑体" w:cs="Times New Roman"/>
          <w:color w:val="auto"/>
          <w:sz w:val="32"/>
          <w:szCs w:val="32"/>
          <w:highlight w:val="none"/>
          <w:lang w:val="en-US" w:eastAsia="zh-CN"/>
        </w:rPr>
        <w:t>实施强基焕新工程</w:t>
      </w:r>
      <w:r>
        <w:rPr>
          <w:rFonts w:hint="eastAsia" w:ascii="Times New Roman" w:hAnsi="Times New Roman" w:eastAsia="黑体" w:cs="Times New Roman"/>
          <w:color w:val="auto"/>
          <w:sz w:val="32"/>
          <w:szCs w:val="32"/>
          <w:highlight w:val="none"/>
        </w:rPr>
        <w:t>，提升产业核心竞争力</w:t>
      </w:r>
      <w:bookmarkEnd w:id="169"/>
    </w:p>
    <w:p w14:paraId="3079D836">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以企业为主体、创新平台为载体，进一步优化创新机制，引导企业开展技术研发合作、人才培养合作、成果转化合作等。围绕“</w:t>
      </w:r>
      <w:r>
        <w:rPr>
          <w:rFonts w:hint="default" w:ascii="Times New Roman" w:hAnsi="Times New Roman" w:cs="Times New Roman"/>
          <w:color w:val="auto"/>
          <w:highlight w:val="none"/>
        </w:rPr>
        <w:t>2+2+X</w:t>
      </w:r>
      <w:r>
        <w:rPr>
          <w:rFonts w:hint="eastAsia"/>
          <w:color w:val="auto"/>
          <w:highlight w:val="none"/>
        </w:rPr>
        <w:t>”产业链建设重大创新平台，建设一批中试平台，促进科技成果产业化</w:t>
      </w:r>
      <w:r>
        <w:rPr>
          <w:rFonts w:hint="eastAsia"/>
          <w:color w:val="auto"/>
          <w:highlight w:val="none"/>
          <w:lang w:eastAsia="zh-CN"/>
        </w:rPr>
        <w:t>，</w:t>
      </w:r>
      <w:r>
        <w:rPr>
          <w:rFonts w:hint="eastAsia"/>
          <w:color w:val="auto"/>
          <w:highlight w:val="none"/>
          <w:lang w:val="en-US" w:eastAsia="zh-CN"/>
        </w:rPr>
        <w:t>形成一批新产品、新技术和新工艺</w:t>
      </w:r>
      <w:r>
        <w:rPr>
          <w:rFonts w:hint="eastAsia"/>
          <w:color w:val="auto"/>
          <w:highlight w:val="none"/>
          <w:lang w:eastAsia="zh-CN"/>
        </w:rPr>
        <w:t>，</w:t>
      </w:r>
      <w:r>
        <w:rPr>
          <w:rFonts w:hint="eastAsia"/>
          <w:color w:val="auto"/>
          <w:highlight w:val="none"/>
        </w:rPr>
        <w:t>围绕传统产业换新，鼓励现有企业设备更新，实施一批重大技术改造项目。</w:t>
      </w:r>
    </w:p>
    <w:p w14:paraId="44C018C4">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（一）构建高水平产业创新平台体系</w:t>
      </w:r>
    </w:p>
    <w:p w14:paraId="1FEA1406">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1.</w:t>
      </w:r>
      <w:r>
        <w:rPr>
          <w:rFonts w:hint="eastAsia" w:ascii="楷体" w:hAnsi="楷体" w:eastAsia="楷体" w:cs="楷体"/>
          <w:color w:val="auto"/>
          <w:highlight w:val="none"/>
          <w:lang w:val="en-US" w:eastAsia="zh-CN"/>
        </w:rPr>
        <w:t>实施一批关键技术研发与攻关项目。</w:t>
      </w:r>
      <w:r>
        <w:rPr>
          <w:rFonts w:hint="eastAsia"/>
          <w:color w:val="auto"/>
          <w:highlight w:val="none"/>
        </w:rPr>
        <w:t>以“</w:t>
      </w:r>
      <w:r>
        <w:rPr>
          <w:rFonts w:hint="default" w:ascii="Times New Roman" w:hAnsi="Times New Roman" w:cs="Times New Roman"/>
          <w:color w:val="auto"/>
          <w:highlight w:val="none"/>
        </w:rPr>
        <w:t>2+2+X</w:t>
      </w:r>
      <w:r>
        <w:rPr>
          <w:rFonts w:hint="eastAsia"/>
          <w:color w:val="auto"/>
          <w:highlight w:val="none"/>
        </w:rPr>
        <w:t>”产业方向，支持龙头企业联合高校、科研院所</w:t>
      </w:r>
      <w:r>
        <w:rPr>
          <w:rFonts w:hint="eastAsia"/>
          <w:color w:val="auto"/>
          <w:highlight w:val="none"/>
          <w:lang w:eastAsia="zh-CN"/>
        </w:rPr>
        <w:t>、</w:t>
      </w:r>
      <w:r>
        <w:rPr>
          <w:rFonts w:hint="eastAsia"/>
          <w:color w:val="auto"/>
          <w:highlight w:val="none"/>
          <w:lang w:val="en-US" w:eastAsia="zh-CN"/>
        </w:rPr>
        <w:t>上下游企业</w:t>
      </w:r>
      <w:r>
        <w:rPr>
          <w:rFonts w:hint="eastAsia"/>
          <w:color w:val="auto"/>
          <w:highlight w:val="none"/>
        </w:rPr>
        <w:t>组建创新联合体，开展行业共性关键技术研发与攻关</w:t>
      </w:r>
      <w:r>
        <w:rPr>
          <w:rFonts w:hint="eastAsia"/>
          <w:color w:val="auto"/>
          <w:highlight w:val="none"/>
          <w:lang w:eastAsia="zh-CN"/>
        </w:rPr>
        <w:t>，</w:t>
      </w:r>
      <w:r>
        <w:rPr>
          <w:rFonts w:hint="eastAsia"/>
          <w:color w:val="auto"/>
          <w:highlight w:val="none"/>
          <w:lang w:val="en-US" w:eastAsia="zh-CN"/>
        </w:rPr>
        <w:t>形成一批实在的关键技</w:t>
      </w:r>
      <w:r>
        <w:rPr>
          <w:rFonts w:hint="default" w:ascii="Times New Roman" w:hAnsi="Times New Roman" w:cs="Times New Roman"/>
          <w:color w:val="auto"/>
          <w:highlight w:val="none"/>
          <w:lang w:val="en-US" w:eastAsia="zh-CN"/>
        </w:rPr>
        <w:t>术落地</w:t>
      </w:r>
      <w:r>
        <w:rPr>
          <w:rFonts w:hint="default" w:ascii="Times New Roman" w:hAnsi="Times New Roman" w:cs="Times New Roman"/>
          <w:color w:val="auto"/>
          <w:highlight w:val="none"/>
        </w:rPr>
        <w:t>。到2030年，</w:t>
      </w:r>
      <w:r>
        <w:rPr>
          <w:rFonts w:hint="default" w:ascii="Times New Roman" w:hAnsi="Times New Roman" w:cs="Times New Roman"/>
          <w:color w:val="auto"/>
          <w:highlight w:val="none"/>
          <w:lang w:val="en-US" w:eastAsia="zh-CN"/>
        </w:rPr>
        <w:t>入选省、市3-4个行业关</w:t>
      </w:r>
      <w:r>
        <w:rPr>
          <w:rFonts w:hint="eastAsia"/>
          <w:color w:val="auto"/>
          <w:highlight w:val="none"/>
          <w:lang w:val="en-US" w:eastAsia="zh-CN"/>
        </w:rPr>
        <w:t>键技术研发攻关创新项目</w:t>
      </w:r>
      <w:r>
        <w:rPr>
          <w:rFonts w:hint="eastAsia"/>
          <w:color w:val="auto"/>
          <w:highlight w:val="none"/>
        </w:rPr>
        <w:t>。</w:t>
      </w:r>
    </w:p>
    <w:p w14:paraId="0F881672">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2.提升现有</w:t>
      </w:r>
      <w:r>
        <w:rPr>
          <w:rFonts w:hint="eastAsia" w:ascii="楷体" w:hAnsi="楷体" w:eastAsia="楷体" w:cs="楷体"/>
          <w:color w:val="auto"/>
          <w:highlight w:val="none"/>
          <w:lang w:val="en-US" w:eastAsia="zh-CN"/>
        </w:rPr>
        <w:t>企业创新</w:t>
      </w:r>
      <w:r>
        <w:rPr>
          <w:rFonts w:hint="eastAsia" w:ascii="楷体" w:hAnsi="楷体" w:eastAsia="楷体" w:cs="楷体"/>
          <w:color w:val="auto"/>
          <w:highlight w:val="none"/>
        </w:rPr>
        <w:t>平台能级。</w:t>
      </w:r>
      <w:r>
        <w:rPr>
          <w:rFonts w:hint="eastAsia"/>
          <w:color w:val="auto"/>
          <w:highlight w:val="none"/>
        </w:rPr>
        <w:t>支持现有企业技术中心、工程研究中心、院士工作站等创新平台提质增效，增强研发能力和服务水平。鼓励平台开放共享科研设施与仪器资源，为中小企业提供技术服务。推动有条件的平台升级</w:t>
      </w:r>
      <w:r>
        <w:rPr>
          <w:rFonts w:hint="default" w:ascii="Times New Roman" w:hAnsi="Times New Roman" w:cs="Times New Roman"/>
          <w:color w:val="auto"/>
          <w:highlight w:val="none"/>
        </w:rPr>
        <w:t>为省级、国家级平台，到2030年，新增省级</w:t>
      </w:r>
      <w:r>
        <w:rPr>
          <w:rFonts w:hint="default" w:ascii="Times New Roman" w:hAnsi="Times New Roman" w:cs="Times New Roman"/>
          <w:color w:val="auto"/>
          <w:highlight w:val="none"/>
          <w:lang w:val="en-US" w:eastAsia="zh-CN"/>
        </w:rPr>
        <w:t>以上</w:t>
      </w:r>
      <w:r>
        <w:rPr>
          <w:rFonts w:hint="default" w:ascii="Times New Roman" w:hAnsi="Times New Roman" w:cs="Times New Roman"/>
          <w:color w:val="auto"/>
          <w:highlight w:val="none"/>
        </w:rPr>
        <w:t>企业技术中心</w:t>
      </w:r>
      <w:r>
        <w:rPr>
          <w:rFonts w:hint="default" w:ascii="Times New Roman" w:hAnsi="Times New Roman" w:cs="Times New Roman"/>
          <w:color w:val="auto"/>
          <w:highlight w:val="none"/>
          <w:lang w:val="en-US" w:eastAsia="zh-CN"/>
        </w:rPr>
        <w:t>25</w:t>
      </w:r>
      <w:r>
        <w:rPr>
          <w:rFonts w:hint="default" w:ascii="Times New Roman" w:hAnsi="Times New Roman" w:cs="Times New Roman"/>
          <w:color w:val="auto"/>
          <w:highlight w:val="none"/>
        </w:rPr>
        <w:t>家。</w:t>
      </w:r>
    </w:p>
    <w:p w14:paraId="2C809BDB">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（二）加速科技成果产业化</w:t>
      </w:r>
    </w:p>
    <w:p w14:paraId="7CFBB884">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1</w:t>
      </w:r>
      <w:r>
        <w:rPr>
          <w:rFonts w:hint="eastAsia" w:ascii="楷体" w:hAnsi="楷体" w:eastAsia="楷体" w:cs="楷体"/>
          <w:color w:val="auto"/>
          <w:highlight w:val="none"/>
        </w:rPr>
        <w:t>.加强中试与产业化服务。</w:t>
      </w:r>
      <w:r>
        <w:rPr>
          <w:rFonts w:hint="eastAsia"/>
          <w:color w:val="auto"/>
          <w:highlight w:val="none"/>
        </w:rPr>
        <w:t>围绕重点产业领域，布局建设一批中试基地和产业化载体，为</w:t>
      </w:r>
      <w:r>
        <w:rPr>
          <w:rFonts w:hint="default" w:ascii="Times New Roman" w:hAnsi="Times New Roman" w:cs="Times New Roman"/>
          <w:color w:val="auto"/>
          <w:highlight w:val="none"/>
        </w:rPr>
        <w:t>科技成果的熟化、工程化和小批量试制提供支持。鼓励社会资本参与中试平台建设和运营。到2030年，</w:t>
      </w:r>
      <w:r>
        <w:rPr>
          <w:rFonts w:hint="default" w:ascii="Times New Roman" w:hAnsi="Times New Roman" w:cs="Times New Roman"/>
          <w:color w:val="auto"/>
          <w:highlight w:val="none"/>
          <w:lang w:val="en-US" w:eastAsia="zh-CN"/>
        </w:rPr>
        <w:t>创成1</w:t>
      </w:r>
      <w:r>
        <w:rPr>
          <w:rFonts w:hint="default" w:ascii="Times New Roman" w:hAnsi="Times New Roman" w:cs="Times New Roman"/>
          <w:color w:val="auto"/>
          <w:highlight w:val="none"/>
        </w:rPr>
        <w:t>个</w:t>
      </w:r>
      <w:r>
        <w:rPr>
          <w:rFonts w:hint="default" w:ascii="Times New Roman" w:hAnsi="Times New Roman" w:cs="Times New Roman"/>
          <w:color w:val="auto"/>
          <w:highlight w:val="none"/>
          <w:lang w:val="en-US" w:eastAsia="zh-CN"/>
        </w:rPr>
        <w:t>省级以上中试平台</w:t>
      </w:r>
      <w:r>
        <w:rPr>
          <w:rFonts w:hint="default" w:ascii="Times New Roman" w:hAnsi="Times New Roman" w:cs="Times New Roman"/>
          <w:color w:val="auto"/>
          <w:highlight w:val="none"/>
        </w:rPr>
        <w:t>。</w:t>
      </w:r>
    </w:p>
    <w:p w14:paraId="79DA3817">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2</w:t>
      </w:r>
      <w:r>
        <w:rPr>
          <w:rFonts w:hint="eastAsia" w:ascii="楷体" w:hAnsi="楷体" w:eastAsia="楷体" w:cs="楷体"/>
          <w:color w:val="auto"/>
          <w:highlight w:val="none"/>
        </w:rPr>
        <w:t>.促进创新产品</w:t>
      </w:r>
      <w:r>
        <w:rPr>
          <w:rFonts w:hint="eastAsia" w:ascii="楷体" w:hAnsi="楷体" w:eastAsia="楷体" w:cs="楷体"/>
          <w:color w:val="auto"/>
          <w:highlight w:val="none"/>
          <w:lang w:eastAsia="zh-CN"/>
        </w:rPr>
        <w:t>、</w:t>
      </w:r>
      <w:r>
        <w:rPr>
          <w:rFonts w:hint="eastAsia" w:ascii="楷体" w:hAnsi="楷体" w:eastAsia="楷体" w:cs="楷体"/>
          <w:color w:val="auto"/>
          <w:highlight w:val="none"/>
          <w:lang w:val="en-US" w:eastAsia="zh-CN"/>
        </w:rPr>
        <w:t>新材料、新设备</w:t>
      </w:r>
      <w:r>
        <w:rPr>
          <w:rFonts w:hint="eastAsia" w:ascii="楷体" w:hAnsi="楷体" w:eastAsia="楷体" w:cs="楷体"/>
          <w:color w:val="auto"/>
          <w:highlight w:val="none"/>
        </w:rPr>
        <w:t>推广应用。</w:t>
      </w:r>
      <w:r>
        <w:rPr>
          <w:rFonts w:hint="eastAsia"/>
          <w:color w:val="auto"/>
          <w:highlight w:val="none"/>
        </w:rPr>
        <w:t>落实“三首两新”工作。通过示范工程、应用场景开放等方式，为创新产品、创新材料、创新软件提供市场入口，帮助快速迭代和规模化应用。到2030年底，全区200个新技术新产品进入省重点推广应用新技术新产品目录。聚焦首台套重大技术装备研发与产业化推进，突破核心关键技术、强化政策支撑与市场推广，加速首台套产品迭代升级与规模化落地。到2030年底，全区新创成省级首台（套）重大装备2-3个。</w:t>
      </w:r>
    </w:p>
    <w:p w14:paraId="6E795AFF">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（三）推动企业设备更新，促进传统产业换新。</w:t>
      </w:r>
    </w:p>
    <w:p w14:paraId="3B384BA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default" w:ascii="Times New Roman" w:hAnsi="Times New Roman" w:eastAsia="方正仿宋_GBK" w:cs="Times New Roman"/>
          <w:color w:val="auto"/>
          <w:kern w:val="0"/>
          <w:sz w:val="24"/>
          <w:highlight w:val="none"/>
          <w:lang w:val="en-US" w:eastAsia="zh-CN"/>
        </w:rPr>
      </w:pPr>
      <w:r>
        <w:rPr>
          <w:rFonts w:hint="eastAsia"/>
          <w:color w:val="auto"/>
          <w:highlight w:val="none"/>
        </w:rPr>
        <w:t>推动老旧装置更新改造。引导企业加快淘汰超期服役的高能耗、高排放、高风险的落后低效设备，支持工艺流程优化改造，提升生产水平。引导企业绿色转型。指导督促重点企业对照能效标杆水平或行业能效水平，开展能效对标，推动企业重点用能设备更新换代，实施工艺技术装备绿色化改造。</w:t>
      </w:r>
      <w:r>
        <w:rPr>
          <w:rFonts w:hint="eastAsia"/>
          <w:color w:val="auto"/>
          <w:highlight w:val="none"/>
          <w:lang w:val="en-US" w:eastAsia="zh-CN"/>
        </w:rPr>
        <w:t>引导企业</w:t>
      </w:r>
      <w:r>
        <w:rPr>
          <w:rFonts w:hint="eastAsia"/>
          <w:color w:val="auto"/>
          <w:highlight w:val="none"/>
        </w:rPr>
        <w:t>开展智改数转网联技术改造，</w:t>
      </w:r>
      <w:r>
        <w:rPr>
          <w:rFonts w:hint="eastAsia"/>
          <w:color w:val="auto"/>
          <w:highlight w:val="none"/>
          <w:lang w:val="en-US" w:eastAsia="zh-CN"/>
        </w:rPr>
        <w:t>提升信息化数字化水平</w:t>
      </w:r>
      <w:r>
        <w:rPr>
          <w:rFonts w:hint="eastAsia"/>
          <w:color w:val="auto"/>
          <w:highlight w:val="none"/>
        </w:rPr>
        <w:t>。优化产业布局。指导各镇街、园区推进产业空间布局优化调整，引导分散的工业企业入园进区、改造提升，进一步提高传统产业集聚集约发展水平。</w:t>
      </w:r>
      <w:r>
        <w:rPr>
          <w:rFonts w:hint="eastAsia"/>
          <w:color w:val="auto"/>
          <w:highlight w:val="none"/>
          <w:lang w:val="en-US" w:eastAsia="zh-CN"/>
        </w:rPr>
        <w:t>到2030年，全区滚动实施总投资1000万元以上技改项目500个，工业投资年均增长8%以上。支持企业充分利用国家“两新政策”实施技术改造，5年内申报成功3-4个超长期国债项目，享受国家制造业贷款贴息400万元以上。</w:t>
      </w:r>
    </w:p>
    <w:p w14:paraId="126EAC0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70" w:name="_Toc28630"/>
      <w:r>
        <w:rPr>
          <w:rFonts w:hint="eastAsia"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二</w:t>
      </w:r>
      <w:r>
        <w:rPr>
          <w:rFonts w:hint="eastAsia" w:ascii="Times New Roman" w:hAnsi="Times New Roman" w:eastAsia="黑体" w:cs="Times New Roman"/>
          <w:color w:val="auto"/>
          <w:sz w:val="32"/>
          <w:szCs w:val="32"/>
          <w:highlight w:val="none"/>
        </w:rPr>
        <w:t xml:space="preserve">节 </w:t>
      </w:r>
      <w:r>
        <w:rPr>
          <w:rFonts w:hint="eastAsia" w:ascii="Times New Roman" w:hAnsi="Times New Roman" w:eastAsia="黑体" w:cs="Times New Roman"/>
          <w:color w:val="auto"/>
          <w:sz w:val="32"/>
          <w:szCs w:val="32"/>
          <w:highlight w:val="none"/>
          <w:lang w:val="en-US" w:eastAsia="zh-CN"/>
        </w:rPr>
        <w:t>实施培大育强工程</w:t>
      </w:r>
      <w:r>
        <w:rPr>
          <w:rFonts w:hint="eastAsia"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val="en-US" w:eastAsia="zh-CN"/>
        </w:rPr>
        <w:t>提升产业</w:t>
      </w:r>
      <w:r>
        <w:rPr>
          <w:rFonts w:hint="eastAsia" w:ascii="Times New Roman" w:hAnsi="Times New Roman" w:eastAsia="黑体" w:cs="Times New Roman"/>
          <w:color w:val="auto"/>
          <w:sz w:val="32"/>
          <w:szCs w:val="32"/>
          <w:highlight w:val="none"/>
        </w:rPr>
        <w:t>主体活力</w:t>
      </w:r>
      <w:bookmarkEnd w:id="170"/>
    </w:p>
    <w:p w14:paraId="4A4A0292">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坚持抓大、扶小、育强相结合，实施“龙头企业跃升工程”，构建大企业顶天立地、中小企业铺天盖地的企业梯队发展格局，全面提升市场主体竞争力和发展活力。</w:t>
      </w:r>
    </w:p>
    <w:p w14:paraId="1C801106">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（一）打造领航型龙头骨干企业</w:t>
      </w:r>
    </w:p>
    <w:p w14:paraId="3AB14C91">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1</w:t>
      </w:r>
      <w:r>
        <w:rPr>
          <w:rFonts w:hint="eastAsia" w:ascii="楷体" w:hAnsi="楷体" w:eastAsia="楷体" w:cs="楷体"/>
          <w:color w:val="auto"/>
          <w:highlight w:val="none"/>
        </w:rPr>
        <w:t>.建立大企业培育库。</w:t>
      </w:r>
      <w:r>
        <w:rPr>
          <w:rFonts w:hint="eastAsia"/>
          <w:color w:val="auto"/>
          <w:highlight w:val="none"/>
        </w:rPr>
        <w:t>策应泰州市大企业培育跃升倍增计划，聚焦领军企业突破，建立“10亿元、20亿、50亿、100亿”及领航企业培育库。遴选一批产业前景好、创新能力强、发展潜力大的企业入库，实施“一企一策”精准赋能和动态管理。到2030年，力争培育百亿级企业1家、50-100亿级企业1家、20-50亿元企业5家，亿元以上企业180家。新增制造业单项冠军企业1家，新增省级以上领航企业2-3家。</w:t>
      </w:r>
    </w:p>
    <w:p w14:paraId="30425110">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2</w:t>
      </w:r>
      <w:r>
        <w:rPr>
          <w:rFonts w:hint="eastAsia" w:ascii="楷体" w:hAnsi="楷体" w:eastAsia="楷体" w:cs="楷体"/>
          <w:color w:val="auto"/>
          <w:highlight w:val="none"/>
        </w:rPr>
        <w:t>.扶持企业上市挂牌。</w:t>
      </w:r>
      <w:r>
        <w:rPr>
          <w:rFonts w:hint="eastAsia"/>
          <w:color w:val="auto"/>
          <w:highlight w:val="none"/>
        </w:rPr>
        <w:t>定期摸排梳理，建好上市挂牌后备企业动态培育库，建立完善联席服务机制，开辟上市挂牌“绿色通道”，优先办理立项、土地、规划等手续，优先安排用地指标、保证生产用电、申报各类企业技术创新平台、申报各类上级扶持资金（项目）等工作，加大政府增信和融资支持力度，帮助企业扫清上市障碍，加快上市挂牌进程。到2030年，全区新增上市企业2家以上，新增挂牌企业3家以上。</w:t>
      </w:r>
    </w:p>
    <w:p w14:paraId="53164584">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3</w:t>
      </w:r>
      <w:r>
        <w:rPr>
          <w:rFonts w:hint="eastAsia" w:ascii="楷体" w:hAnsi="楷体" w:eastAsia="楷体" w:cs="楷体"/>
          <w:color w:val="auto"/>
          <w:highlight w:val="none"/>
        </w:rPr>
        <w:t>.推动龙头骨干企业带头“走出去”</w:t>
      </w:r>
      <w:r>
        <w:rPr>
          <w:rFonts w:hint="eastAsia" w:ascii="楷体" w:hAnsi="楷体" w:eastAsia="楷体" w:cs="楷体"/>
          <w:color w:val="auto"/>
          <w:highlight w:val="none"/>
          <w:lang w:eastAsia="zh-CN"/>
        </w:rPr>
        <w:t>。</w:t>
      </w:r>
      <w:r>
        <w:rPr>
          <w:rFonts w:hint="eastAsia"/>
          <w:color w:val="auto"/>
          <w:highlight w:val="none"/>
        </w:rPr>
        <w:t>主动深度参与国际分工，参与国际产业合作园等基地建设和国际产能合作，紧握当前全球价值链重塑的机遇，不断提升价值链位置。鼓励优势企业建立海外产品研发中心、实验基地和全球营销及服务体系，获取高端的生产能力，在研发、设计和服务等高附加值领域积累竞争优势。</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0"/>
      </w:tblGrid>
      <w:tr w14:paraId="3FF9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480" w:type="dxa"/>
            <w:noWrap w:val="0"/>
            <w:vAlign w:val="top"/>
          </w:tcPr>
          <w:p w14:paraId="2393F96D">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专栏5：工业企业培大育强行动计划</w:t>
            </w:r>
          </w:p>
        </w:tc>
      </w:tr>
      <w:tr w14:paraId="3282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80" w:type="dxa"/>
            <w:noWrap w:val="0"/>
            <w:vAlign w:val="top"/>
          </w:tcPr>
          <w:p w14:paraId="447BFEA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1、构建梯度培育体系，打造企业成长梯队。制定量化遴选标准，重点吸纳产业前景广阔、创新能力突出、市场潜力巨大的优质企业入库，实行</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一企一档</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动态管理机制。针对入库企业差异化需求，实施</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一企一策</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精准赋能：对10-20亿元级企业，重点支持技术改造、市场拓展，助力产能规模提升；对20-50亿元级企业，聚焦产业链整合、创新平台建设，培育细分领域主导权；对50亿元以上级企业，强化要素保障、跨区域合作支持，打造区域产业标杆。到2030年，力争培育百亿级龙头企业1家、50-100亿级骨干企业1家、20-50亿元级重点企业5家，亿元以上规模企业达180家；新增制造业单项冠军企业1-2家，省级以上领航企业2-3家，形成</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龙头引领、骨干支撑、中小协同</w:t>
            </w:r>
            <w:r>
              <w:rPr>
                <w:rFonts w:hint="eastAsia" w:ascii="Times New Roman" w:hAnsi="Times New Roman" w:eastAsia="宋体" w:cs="Times New Roman"/>
                <w:color w:val="auto"/>
                <w:kern w:val="0"/>
                <w:sz w:val="24"/>
                <w:szCs w:val="24"/>
                <w:highlight w:val="none"/>
                <w:lang w:eastAsia="zh-CN"/>
              </w:rPr>
              <w:t>”</w:t>
            </w:r>
            <w:r>
              <w:rPr>
                <w:rFonts w:hint="default" w:ascii="Times New Roman" w:hAnsi="Times New Roman" w:eastAsia="宋体" w:cs="Times New Roman"/>
                <w:color w:val="auto"/>
                <w:kern w:val="0"/>
                <w:sz w:val="24"/>
                <w:szCs w:val="24"/>
                <w:highlight w:val="none"/>
              </w:rPr>
              <w:t>的企业发展格局。</w:t>
            </w:r>
          </w:p>
        </w:tc>
      </w:tr>
    </w:tbl>
    <w:p w14:paraId="2D78EB7F">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（二）促进大中小企业融通发展</w:t>
      </w:r>
    </w:p>
    <w:p w14:paraId="61EC1B34">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搭建龙头企业与本地中小企业的融通发展平台，促进研发协同、生产协作、资源共享，构建“龙头引领、中小支撑”的融通发展生态。到2030年本地化配套率提升5个百分点，建成星级中小企业公共服务平台1个。</w:t>
      </w:r>
    </w:p>
    <w:p w14:paraId="7022F383">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1.构建</w:t>
      </w:r>
      <w:r>
        <w:rPr>
          <w:rFonts w:hint="eastAsia" w:ascii="楷体" w:hAnsi="楷体" w:eastAsia="楷体" w:cs="楷体"/>
          <w:color w:val="auto"/>
          <w:highlight w:val="none"/>
        </w:rPr>
        <w:t>融通发展生态。</w:t>
      </w:r>
      <w:r>
        <w:rPr>
          <w:rFonts w:hint="eastAsia"/>
          <w:color w:val="auto"/>
          <w:highlight w:val="none"/>
        </w:rPr>
        <w:t>引导龙头企业与中小企业开展信息对接、项目对接、资源对接。鼓励龙头企业向中小企业开放品牌、设计、研发、渠道等资源。推动形成“龙头企业专注系统集成和品牌营销、中小企业深耕细分领域和核心部件”的协同发展格局。</w:t>
      </w:r>
    </w:p>
    <w:p w14:paraId="308BD674">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2.鼓励</w:t>
      </w:r>
      <w:r>
        <w:rPr>
          <w:rFonts w:hint="eastAsia" w:ascii="楷体" w:hAnsi="楷体" w:eastAsia="楷体" w:cs="楷体"/>
          <w:color w:val="auto"/>
          <w:highlight w:val="none"/>
        </w:rPr>
        <w:t>协同创新与配套。</w:t>
      </w:r>
      <w:r>
        <w:rPr>
          <w:rFonts w:hint="eastAsia"/>
          <w:color w:val="auto"/>
          <w:highlight w:val="none"/>
        </w:rPr>
        <w:t>支持龙头企业牵头组建创新联合体，带领上下游中小企业共同开展技术研发和成果转化。鼓励中小企业聚焦特定细分产品，开展关键技术攻关，打造“配套专家”。提升产业链本地化配套率和协同效率。</w:t>
      </w:r>
    </w:p>
    <w:p w14:paraId="2331EC85">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3.优化中小企业服务体系</w:t>
      </w:r>
      <w:r>
        <w:rPr>
          <w:rFonts w:hint="eastAsia"/>
          <w:color w:val="auto"/>
          <w:highlight w:val="none"/>
        </w:rPr>
        <w:t>。完善中小企业公共服务平台网络，提供创业辅导、创新支持、政策咨询、投融资、人才培训等普惠服务。发挥行业协会、商会的桥梁纽带作用。畅通政企沟通渠道，建立健全企业诉求快速响应机制。</w:t>
      </w:r>
    </w:p>
    <w:p w14:paraId="485D005D">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（三）实施中小企业育苗工程</w:t>
      </w:r>
    </w:p>
    <w:p w14:paraId="2E013FCD">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1.引导</w:t>
      </w:r>
      <w:r>
        <w:rPr>
          <w:rFonts w:hint="eastAsia" w:ascii="楷体" w:hAnsi="楷体" w:eastAsia="楷体" w:cs="楷体"/>
          <w:color w:val="auto"/>
          <w:highlight w:val="none"/>
        </w:rPr>
        <w:t>企业走“专精特新”道路。</w:t>
      </w:r>
      <w:r>
        <w:rPr>
          <w:rFonts w:hint="eastAsia"/>
          <w:color w:val="auto"/>
          <w:highlight w:val="none"/>
        </w:rPr>
        <w:t>引导企业坚守专业精神、工匠精神，持续专注技术和工艺优化、产品质量和性能迭代升级，锻造“独门绝技”。实施分级分类滚动培育，做好新企业定期遴选入库工作，建立淘汰出清落后企业机制，督促培育类企业按计划完成任务。做好入库企业管理服务工作。按各级和专精特新小巨人企业的认定标准，大力推荐符合条件的企业申报国家和省级认定，保障相关扶持政策及时落实到位。到2030年，全区新增省级以上专精特新“小巨人”企业</w:t>
      </w:r>
      <w:r>
        <w:rPr>
          <w:rFonts w:hint="eastAsia"/>
          <w:color w:val="auto"/>
          <w:highlight w:val="none"/>
          <w:lang w:val="en-US" w:eastAsia="zh-CN"/>
        </w:rPr>
        <w:t>30</w:t>
      </w:r>
      <w:r>
        <w:rPr>
          <w:rFonts w:hint="eastAsia"/>
          <w:color w:val="auto"/>
          <w:highlight w:val="none"/>
        </w:rPr>
        <w:t>家</w:t>
      </w:r>
      <w:r>
        <w:rPr>
          <w:rFonts w:hint="eastAsia"/>
          <w:color w:val="auto"/>
          <w:highlight w:val="none"/>
          <w:lang w:eastAsia="zh-CN"/>
        </w:rPr>
        <w:t>以上</w:t>
      </w:r>
      <w:r>
        <w:rPr>
          <w:rFonts w:hint="eastAsia"/>
          <w:color w:val="auto"/>
          <w:highlight w:val="none"/>
        </w:rPr>
        <w:t>，实施重点小巨人项目3项以上。</w:t>
      </w:r>
    </w:p>
    <w:p w14:paraId="1CD32E5F">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2.健</w:t>
      </w:r>
      <w:r>
        <w:rPr>
          <w:rFonts w:hint="eastAsia" w:ascii="楷体" w:hAnsi="楷体" w:eastAsia="楷体" w:cs="楷体"/>
          <w:color w:val="auto"/>
          <w:highlight w:val="none"/>
        </w:rPr>
        <w:t>全完善小微企业培育库</w:t>
      </w:r>
      <w:r>
        <w:rPr>
          <w:rFonts w:hint="eastAsia" w:ascii="楷体" w:hAnsi="楷体" w:eastAsia="楷体" w:cs="楷体"/>
          <w:color w:val="auto"/>
          <w:highlight w:val="none"/>
          <w:lang w:eastAsia="zh-CN"/>
        </w:rPr>
        <w:t>。</w:t>
      </w:r>
      <w:r>
        <w:rPr>
          <w:rFonts w:hint="eastAsia"/>
          <w:color w:val="auto"/>
          <w:highlight w:val="none"/>
        </w:rPr>
        <w:t>建立企业培育档案及成长档案，强化政策扶持和精准服务，促进企业“上规升级”。到2030年，年均新增规上工业企业40家以上。</w:t>
      </w:r>
    </w:p>
    <w:p w14:paraId="5DE4F9C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71" w:name="_Toc18944"/>
      <w:r>
        <w:rPr>
          <w:rFonts w:hint="eastAsia"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三</w:t>
      </w:r>
      <w:r>
        <w:rPr>
          <w:rFonts w:hint="eastAsia" w:ascii="Times New Roman" w:hAnsi="Times New Roman" w:eastAsia="黑体" w:cs="Times New Roman"/>
          <w:color w:val="auto"/>
          <w:sz w:val="32"/>
          <w:szCs w:val="32"/>
          <w:highlight w:val="none"/>
        </w:rPr>
        <w:t xml:space="preserve">节 </w:t>
      </w:r>
      <w:r>
        <w:rPr>
          <w:rFonts w:hint="eastAsia" w:ascii="Times New Roman" w:hAnsi="Times New Roman" w:eastAsia="黑体" w:cs="Times New Roman"/>
          <w:color w:val="auto"/>
          <w:sz w:val="32"/>
          <w:szCs w:val="32"/>
          <w:highlight w:val="none"/>
          <w:lang w:val="en-US" w:eastAsia="zh-CN"/>
        </w:rPr>
        <w:t>实施</w:t>
      </w:r>
      <w:r>
        <w:rPr>
          <w:rFonts w:hint="eastAsia" w:ascii="Times New Roman" w:hAnsi="Times New Roman" w:eastAsia="黑体" w:cs="Times New Roman"/>
          <w:color w:val="auto"/>
          <w:sz w:val="32"/>
          <w:szCs w:val="32"/>
          <w:highlight w:val="none"/>
        </w:rPr>
        <w:t>数智赋能</w:t>
      </w:r>
      <w:r>
        <w:rPr>
          <w:rFonts w:hint="eastAsia" w:ascii="Times New Roman" w:hAnsi="Times New Roman" w:eastAsia="黑体" w:cs="Times New Roman"/>
          <w:color w:val="auto"/>
          <w:sz w:val="32"/>
          <w:szCs w:val="32"/>
          <w:highlight w:val="none"/>
          <w:lang w:val="en-US" w:eastAsia="zh-CN"/>
        </w:rPr>
        <w:t>工程</w:t>
      </w:r>
      <w:r>
        <w:rPr>
          <w:rFonts w:hint="eastAsia"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val="en-US" w:eastAsia="zh-CN"/>
        </w:rPr>
        <w:t>提升产业“智造”水平</w:t>
      </w:r>
      <w:bookmarkEnd w:id="171"/>
    </w:p>
    <w:p w14:paraId="55EF2A1C">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深入开展新一轮智改数转网联三年行动，打造一批智能工厂、5G工厂、工业互联网平台等示范项目，形成可复制、可推广的行业标杆，持续提供智改数转网联咨询诊断服务，支持中小企业开展数字化转型，创新性中小企业数字化转型实现全覆盖。</w:t>
      </w:r>
    </w:p>
    <w:p w14:paraId="583D9D14">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kern w:val="2"/>
          <w:sz w:val="32"/>
          <w:szCs w:val="20"/>
          <w:highlight w:val="none"/>
          <w:lang w:val="en-US" w:eastAsia="zh-CN" w:bidi="ar-SA"/>
        </w:rPr>
        <w:t>（一）</w:t>
      </w:r>
      <w:r>
        <w:rPr>
          <w:rFonts w:hint="eastAsia" w:ascii="楷体" w:hAnsi="楷体" w:eastAsia="楷体" w:cs="楷体"/>
          <w:color w:val="auto"/>
          <w:highlight w:val="none"/>
        </w:rPr>
        <w:t>加快企业智能化装备改造步伐</w:t>
      </w:r>
      <w:r>
        <w:rPr>
          <w:rFonts w:hint="eastAsia" w:ascii="楷体" w:hAnsi="楷体" w:eastAsia="楷体" w:cs="楷体"/>
          <w:color w:val="auto"/>
          <w:highlight w:val="none"/>
          <w:lang w:eastAsia="zh-CN"/>
        </w:rPr>
        <w:t>。</w:t>
      </w:r>
    </w:p>
    <w:p w14:paraId="20B5F0C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color w:val="auto"/>
          <w:highlight w:val="none"/>
        </w:rPr>
        <w:t>鼓励企业参与国家智能制造能力成熟度评定，以国家智能制造能力成熟度模型（CMMM）为标尺，全面精准评估生产各环节需求，科学分阶段制定工厂改造规划。支持企业深入实施智能化基础改造，重点围绕设备数据采集、全流程生产监控、在线智能检测、能耗动态管理等核心场景，推动设备智能化升级与网联化改造，打通数据孤岛，实现生产要素高效协同。到2030年底，全区实施智能化技术改造项目150个，累计通过智能制造能力成熟度贯标获证企业10家以上。</w:t>
      </w:r>
    </w:p>
    <w:p w14:paraId="2A79EC74">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kern w:val="2"/>
          <w:sz w:val="32"/>
          <w:szCs w:val="20"/>
          <w:highlight w:val="none"/>
          <w:lang w:val="en-US" w:eastAsia="zh-CN" w:bidi="ar-SA"/>
        </w:rPr>
        <w:t>（二）</w:t>
      </w:r>
      <w:r>
        <w:rPr>
          <w:rFonts w:hint="eastAsia" w:ascii="楷体" w:hAnsi="楷体" w:eastAsia="楷体" w:cs="楷体"/>
          <w:color w:val="auto"/>
          <w:highlight w:val="none"/>
        </w:rPr>
        <w:t>强化企业数字化管理应用水平。</w:t>
      </w:r>
    </w:p>
    <w:p w14:paraId="362973E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s="Times New Roman"/>
          <w:color w:val="auto"/>
          <w:highlight w:val="none"/>
        </w:rPr>
      </w:pPr>
      <w:r>
        <w:rPr>
          <w:rFonts w:hint="eastAsia" w:cs="Times New Roman"/>
          <w:color w:val="auto"/>
          <w:highlight w:val="none"/>
        </w:rPr>
        <w:t>支持企业推进信息系统升级，加快ERP、MES、WMS等企业管理软件的集成应用，鼓励企业探索大数据、云计算、人工智能等新兴技术与管理软件的融合创新，不断提升企业数字化管理水平。支持企业实施内外网络改造提升，加快物联网和5G技术在工业领域的深度应用，到2030年底，全区新创成国家级5G工厂1-2个。鼓励企业将AI技术融入生产、设计、服务等环节，参与省级以上首台（套）重大装备评选，壮大智能装备产业。招引培育软件企业，鼓励企业引入AI开源框架，实现产品软件智能化升级，促进人工智能软件产业发展。到2030年，全区梳理人工智能赋能工业制造典型案例3个，推广人工智能典型应用场景5个。</w:t>
      </w:r>
    </w:p>
    <w:p w14:paraId="19ED3D61">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lang w:eastAsia="zh-CN"/>
        </w:rPr>
      </w:pPr>
      <w:r>
        <w:rPr>
          <w:rFonts w:hint="eastAsia" w:ascii="楷体" w:hAnsi="楷体" w:eastAsia="楷体" w:cs="楷体"/>
          <w:color w:val="auto"/>
          <w:highlight w:val="none"/>
        </w:rPr>
        <w:t>（</w:t>
      </w:r>
      <w:r>
        <w:rPr>
          <w:rFonts w:hint="eastAsia" w:ascii="楷体" w:hAnsi="楷体" w:eastAsia="楷体" w:cs="楷体"/>
          <w:color w:val="auto"/>
          <w:highlight w:val="none"/>
          <w:lang w:eastAsia="zh-CN"/>
        </w:rPr>
        <w:t>三</w:t>
      </w:r>
      <w:r>
        <w:rPr>
          <w:rFonts w:hint="eastAsia" w:ascii="楷体" w:hAnsi="楷体" w:eastAsia="楷体" w:cs="楷体"/>
          <w:color w:val="auto"/>
          <w:highlight w:val="none"/>
        </w:rPr>
        <w:t>）平台载体赋能提升行动</w:t>
      </w:r>
      <w:r>
        <w:rPr>
          <w:rFonts w:hint="eastAsia" w:ascii="楷体" w:hAnsi="楷体" w:eastAsia="楷体" w:cs="楷体"/>
          <w:color w:val="auto"/>
          <w:highlight w:val="none"/>
          <w:lang w:eastAsia="zh-CN"/>
        </w:rPr>
        <w:t>。</w:t>
      </w:r>
    </w:p>
    <w:p w14:paraId="71A7F410">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支持工业互联网平台建设。围绕“2+2+X”主导行业，支持行业龙头企业建设企业级、行业级工业互联网平台，整合产业链数据资源，实现研发设计、生产制造、供应链管理等全流程数字化协同，鼓励华粹、赛宝等技术公司和精锻科技、双登集团等行业龙头企业对外提供技术服务，吸引产业链上下游企业上平台、用平台，为行业中小企业智改数转网联赋能。到2030年底，全区新创成省重点工业互联网平台</w:t>
      </w:r>
      <w:r>
        <w:rPr>
          <w:rFonts w:hint="eastAsia"/>
          <w:color w:val="auto"/>
          <w:highlight w:val="none"/>
          <w:lang w:val="en-US" w:eastAsia="zh-CN"/>
        </w:rPr>
        <w:t>3-</w:t>
      </w:r>
      <w:r>
        <w:rPr>
          <w:rFonts w:hint="eastAsia"/>
          <w:color w:val="auto"/>
          <w:highlight w:val="none"/>
        </w:rPr>
        <w:t>5个。</w:t>
      </w:r>
    </w:p>
    <w:p w14:paraId="0A8A00E7">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kern w:val="2"/>
          <w:sz w:val="32"/>
          <w:szCs w:val="20"/>
          <w:highlight w:val="none"/>
          <w:lang w:val="en-US" w:eastAsia="zh-CN" w:bidi="ar-SA"/>
        </w:rPr>
        <w:t>（四）</w:t>
      </w:r>
      <w:r>
        <w:rPr>
          <w:rFonts w:hint="eastAsia" w:ascii="楷体" w:hAnsi="楷体" w:eastAsia="楷体" w:cs="楷体"/>
          <w:color w:val="auto"/>
          <w:highlight w:val="none"/>
        </w:rPr>
        <w:t>筑牢网络</w:t>
      </w:r>
      <w:r>
        <w:rPr>
          <w:rFonts w:hint="eastAsia" w:ascii="楷体" w:hAnsi="楷体" w:eastAsia="楷体" w:cs="楷体"/>
          <w:color w:val="auto"/>
          <w:highlight w:val="none"/>
          <w:lang w:eastAsia="zh-CN"/>
        </w:rPr>
        <w:t>、</w:t>
      </w:r>
      <w:r>
        <w:rPr>
          <w:rFonts w:hint="eastAsia" w:ascii="楷体" w:hAnsi="楷体" w:eastAsia="楷体" w:cs="楷体"/>
          <w:color w:val="auto"/>
          <w:highlight w:val="none"/>
        </w:rPr>
        <w:t>数据安全基础。</w:t>
      </w:r>
    </w:p>
    <w:p w14:paraId="57AEA1E2">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color w:val="auto"/>
          <w:highlight w:val="none"/>
        </w:rPr>
      </w:pPr>
      <w:r>
        <w:rPr>
          <w:rFonts w:hint="eastAsia"/>
          <w:color w:val="auto"/>
          <w:highlight w:val="none"/>
        </w:rPr>
        <w:t>强化网络和数据安全防护，深化分类分级管理，精准落实差异化防护措施。积极鼓励企业参与省级工业信息安全星级防护企业创建，以评促建提升安全能力。组织企业参与安全攻防演练，模拟真实网络攻击场景锤炼应急响应能力，同步开展技能培训，培育专业安全人才队伍。到2030年底，全区累计创成省工业信息安全星级安全防护企业15家，开展工业互联网安全分类分级管理企业</w:t>
      </w:r>
      <w:r>
        <w:rPr>
          <w:rFonts w:hint="eastAsia"/>
          <w:color w:val="auto"/>
          <w:highlight w:val="none"/>
          <w:lang w:val="en-US" w:eastAsia="zh-CN"/>
        </w:rPr>
        <w:t>5</w:t>
      </w:r>
      <w:r>
        <w:rPr>
          <w:rFonts w:hint="eastAsia"/>
          <w:color w:val="auto"/>
          <w:highlight w:val="none"/>
        </w:rPr>
        <w:t>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8"/>
      </w:tblGrid>
      <w:tr w14:paraId="3F96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958" w:type="dxa"/>
            <w:noWrap w:val="0"/>
            <w:vAlign w:val="center"/>
          </w:tcPr>
          <w:p w14:paraId="6723EA75">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黑体" w:cs="Times New Roman"/>
                <w:color w:val="auto"/>
                <w:sz w:val="24"/>
                <w:szCs w:val="24"/>
                <w:highlight w:val="none"/>
                <w:lang w:val="en-US" w:eastAsia="zh-CN"/>
              </w:rPr>
              <w:t>专栏6：智能工厂梯度培育创建行动</w:t>
            </w:r>
          </w:p>
        </w:tc>
      </w:tr>
      <w:tr w14:paraId="4659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trPr>
        <w:tc>
          <w:tcPr>
            <w:tcW w:w="8958" w:type="dxa"/>
            <w:noWrap w:val="0"/>
            <w:vAlign w:val="top"/>
          </w:tcPr>
          <w:p w14:paraId="4D76E0D8">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制定公布智能工厂培育库，针对不同基础和需求的企业，分层分类提供业务辅导，为有意向创建的企业明确转型路径和初步方案。指导更多企业对照省工信厅相关要求，开展基础级智能工厂自评估，加快生产作业、生产管理环节的智能化改造；鼓励有基础的企业参与江苏省先进级智能工厂评定，丰富排产调度智能化、产品研发数字化、设备运维网联化等典型应用场景；支持龙头企业争创国家卓越级、领航级智能工厂，创新数字工厂建设、个性定制生产、网络协同制造等新业态、新模式。到2030年底，全区基础级智能工厂规上工业企业覆盖率达到40%，新创成省先进级智能工厂30家，国家卓越级智能工厂1-2家。</w:t>
            </w:r>
          </w:p>
        </w:tc>
      </w:tr>
    </w:tbl>
    <w:p w14:paraId="2A19A50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72" w:name="_Toc7066"/>
      <w:r>
        <w:rPr>
          <w:rFonts w:hint="eastAsia" w:ascii="Times New Roman" w:hAnsi="Times New Roman" w:eastAsia="黑体" w:cs="Times New Roman"/>
          <w:color w:val="auto"/>
          <w:sz w:val="32"/>
          <w:szCs w:val="32"/>
          <w:highlight w:val="none"/>
        </w:rPr>
        <w:t>第</w:t>
      </w:r>
      <w:r>
        <w:rPr>
          <w:rFonts w:hint="eastAsia" w:ascii="Times New Roman" w:hAnsi="Times New Roman" w:eastAsia="黑体" w:cs="Times New Roman"/>
          <w:color w:val="auto"/>
          <w:sz w:val="32"/>
          <w:szCs w:val="32"/>
          <w:highlight w:val="none"/>
          <w:lang w:eastAsia="zh-CN"/>
        </w:rPr>
        <w:t>四</w:t>
      </w:r>
      <w:r>
        <w:rPr>
          <w:rFonts w:hint="eastAsia" w:ascii="Times New Roman" w:hAnsi="Times New Roman" w:eastAsia="黑体" w:cs="Times New Roman"/>
          <w:color w:val="auto"/>
          <w:sz w:val="32"/>
          <w:szCs w:val="32"/>
          <w:highlight w:val="none"/>
        </w:rPr>
        <w:t xml:space="preserve">节 </w:t>
      </w:r>
      <w:r>
        <w:rPr>
          <w:rFonts w:hint="eastAsia" w:ascii="Times New Roman" w:hAnsi="Times New Roman" w:eastAsia="黑体" w:cs="Times New Roman"/>
          <w:color w:val="auto"/>
          <w:sz w:val="32"/>
          <w:szCs w:val="32"/>
          <w:highlight w:val="none"/>
          <w:lang w:val="en-US" w:eastAsia="zh-CN"/>
        </w:rPr>
        <w:t>实施节能降碳工程</w:t>
      </w:r>
      <w:r>
        <w:rPr>
          <w:rFonts w:hint="eastAsia"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val="en-US" w:eastAsia="zh-CN"/>
        </w:rPr>
        <w:t>提升产业绿色制造水平</w:t>
      </w:r>
      <w:bookmarkEnd w:id="172"/>
    </w:p>
    <w:p w14:paraId="2E735E79">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牢固树立和践行“绿水青山就是金山银山”的理念，落实碳达峰碳中和战略部署，构建高效、清洁、低碳、循环的绿色制造体系，推动工业绿色低碳转型，提升资源综合利用水平和工业生产安全环保水平，迈向更高质量的绿色发展。到2030年，单位GDP能耗比</w:t>
      </w:r>
      <w:r>
        <w:rPr>
          <w:rFonts w:hint="eastAsia"/>
          <w:color w:val="auto"/>
          <w:highlight w:val="none"/>
          <w:lang w:eastAsia="zh-CN"/>
        </w:rPr>
        <w:t>“</w:t>
      </w:r>
      <w:r>
        <w:rPr>
          <w:rFonts w:hint="eastAsia"/>
          <w:color w:val="auto"/>
          <w:highlight w:val="none"/>
        </w:rPr>
        <w:t>十四五</w:t>
      </w:r>
      <w:r>
        <w:rPr>
          <w:rFonts w:hint="eastAsia"/>
          <w:color w:val="auto"/>
          <w:highlight w:val="none"/>
          <w:lang w:eastAsia="zh-CN"/>
        </w:rPr>
        <w:t>”</w:t>
      </w:r>
      <w:r>
        <w:rPr>
          <w:rFonts w:hint="eastAsia"/>
          <w:color w:val="auto"/>
          <w:highlight w:val="none"/>
        </w:rPr>
        <w:t>期末下降5 %。</w:t>
      </w:r>
    </w:p>
    <w:p w14:paraId="3AA4EE55">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（一）提升绿色制造水平</w:t>
      </w:r>
    </w:p>
    <w:p w14:paraId="7DF3902B">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1.创建绿</w:t>
      </w:r>
      <w:r>
        <w:rPr>
          <w:rFonts w:hint="eastAsia" w:ascii="楷体" w:hAnsi="楷体" w:eastAsia="楷体" w:cs="楷体"/>
          <w:color w:val="auto"/>
          <w:highlight w:val="none"/>
        </w:rPr>
        <w:t>色低碳制造标杆。</w:t>
      </w:r>
      <w:r>
        <w:rPr>
          <w:rFonts w:hint="eastAsia"/>
          <w:color w:val="auto"/>
          <w:highlight w:val="none"/>
        </w:rPr>
        <w:t>完善绿色工厂、绿色园区、绿色供应链管理企业的培育机制，鼓励企业创建绿色标杆，到2030年，全区新增国家级绿色工厂5家，省级绿色工厂25家。支持有条件的企业和园区率先开展（近）零碳工厂、（近）零碳园区建设与认证，到2030年，推动认证（近）零碳工厂</w:t>
      </w:r>
      <w:r>
        <w:rPr>
          <w:rFonts w:hint="eastAsia"/>
          <w:color w:val="auto"/>
          <w:highlight w:val="none"/>
          <w:lang w:eastAsia="zh-CN"/>
        </w:rPr>
        <w:t>、园区</w:t>
      </w:r>
      <w:r>
        <w:rPr>
          <w:rFonts w:hint="eastAsia"/>
          <w:color w:val="auto"/>
          <w:highlight w:val="none"/>
        </w:rPr>
        <w:t>3家。</w:t>
      </w:r>
    </w:p>
    <w:p w14:paraId="27AA867D">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2.推动</w:t>
      </w:r>
      <w:r>
        <w:rPr>
          <w:rFonts w:hint="eastAsia" w:ascii="楷体" w:hAnsi="楷体" w:eastAsia="楷体" w:cs="楷体"/>
          <w:color w:val="auto"/>
          <w:highlight w:val="none"/>
        </w:rPr>
        <w:t>重点领域、重点企业节能管理、节能改造和淘汰落后产能。</w:t>
      </w:r>
      <w:r>
        <w:rPr>
          <w:rFonts w:hint="eastAsia"/>
          <w:color w:val="auto"/>
          <w:highlight w:val="none"/>
        </w:rPr>
        <w:t>在铸造、建材、纺织等重点耗能行业，持续推进节能技术改造，推广应用节能低碳技术装备，实现高效节能电机、变压器等通用设备更新换代，到2030年，全区滚动实施节能改造项目100个，累计投入</w:t>
      </w:r>
      <w:r>
        <w:rPr>
          <w:rFonts w:hint="eastAsia"/>
          <w:color w:val="auto"/>
          <w:highlight w:val="none"/>
          <w:lang w:val="en-US" w:eastAsia="zh-CN"/>
        </w:rPr>
        <w:t>5</w:t>
      </w:r>
      <w:r>
        <w:rPr>
          <w:rFonts w:hint="eastAsia"/>
          <w:color w:val="auto"/>
          <w:highlight w:val="none"/>
        </w:rPr>
        <w:t>亿元。规范行业准入管理和落后产能淘汰。严格执行《产业结构调整指导目录（2024年本）》和相关产业政策，对新落户项目和老企业技术改造，按规定进行节能审查，深入开展落后生产工艺装备排查，坚决关停淘汰类生产工艺装备，突出对轻工、纺织、冶金、化工、建材、机械加工等传统产业焕新重点行业领域督查，组织排查企业生产工艺装备情况，对排查发现的“淘汰类”、“落后生产工艺装备”，依法依规实施关停退出。严格执行节约能源法，依法对钢铁、造纸和纺织等重点行业、数据中心等重点领域、煤炭清洁高效利用等耗煤企业开展专项监察。推进重点用能大户的能源审计、节能监测工作，落实能源利用状况报告制度，开展能效水平对标活动，督促重点耗能单位建立健全能源管理制度、管理网络和能源统计、计量体系。到2030年，500吨以上用能单位能源管理体系实现全覆盖。</w:t>
      </w:r>
    </w:p>
    <w:p w14:paraId="07E5D5C0">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3.完善绿</w:t>
      </w:r>
      <w:r>
        <w:rPr>
          <w:rFonts w:hint="eastAsia" w:ascii="楷体" w:hAnsi="楷体" w:eastAsia="楷体" w:cs="楷体"/>
          <w:color w:val="auto"/>
          <w:highlight w:val="none"/>
        </w:rPr>
        <w:t>色制造支撑保障。</w:t>
      </w:r>
      <w:r>
        <w:rPr>
          <w:rFonts w:hint="eastAsia"/>
          <w:color w:val="auto"/>
          <w:highlight w:val="none"/>
        </w:rPr>
        <w:t>鼓励企业提高绿电消费比重，探索开展氢能、生物质能等多元能源供应试点，到2030年，全区绿电</w:t>
      </w:r>
      <w:r>
        <w:rPr>
          <w:rFonts w:hint="eastAsia"/>
          <w:color w:val="auto"/>
          <w:highlight w:val="none"/>
          <w:lang w:eastAsia="zh-CN"/>
        </w:rPr>
        <w:t>供应占全社会用电比例达到</w:t>
      </w:r>
      <w:r>
        <w:rPr>
          <w:rFonts w:hint="eastAsia"/>
          <w:color w:val="auto"/>
          <w:highlight w:val="none"/>
          <w:lang w:val="en-US" w:eastAsia="zh-CN"/>
        </w:rPr>
        <w:t>30</w:t>
      </w:r>
      <w:r>
        <w:rPr>
          <w:rFonts w:hint="eastAsia"/>
          <w:color w:val="auto"/>
          <w:highlight w:val="none"/>
        </w:rPr>
        <w:t>%。推动企业开展碳足迹核算与核查，鼓励能源发电企业区域内消纳，推进用电企业应用尽用。加大政策支持力度。统筹现有财政资金渠道，支持企业实施节能降碳、清洁生产、资源综合利用等项目。落实绿色信贷、绿色债券、绿色保险等金融政策，对区域内有资金需求且符合条件的，实现全覆盖。</w:t>
      </w:r>
    </w:p>
    <w:p w14:paraId="16EF4CC2">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（二）提升资源节约利用水平</w:t>
      </w:r>
    </w:p>
    <w:p w14:paraId="0AF7602F">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default" w:ascii="Times New Roman" w:hAnsi="Times New Roman" w:eastAsia="楷体" w:cs="Times New Roman"/>
          <w:color w:val="auto"/>
          <w:highlight w:val="none"/>
        </w:rPr>
        <w:t>1.深化</w:t>
      </w:r>
      <w:r>
        <w:rPr>
          <w:rFonts w:hint="eastAsia" w:ascii="楷体" w:hAnsi="楷体" w:eastAsia="楷体" w:cs="楷体"/>
          <w:color w:val="auto"/>
          <w:highlight w:val="none"/>
        </w:rPr>
        <w:t>工业企业“亩均论英雄”改革，</w:t>
      </w:r>
      <w:r>
        <w:rPr>
          <w:rFonts w:hint="eastAsia"/>
          <w:color w:val="auto"/>
          <w:highlight w:val="none"/>
        </w:rPr>
        <w:t>强化资源要素保障，引导资源要素向重点区域、重点项目集聚，助力产业转型升级、引领工业经济高质量发展。继续开展低效企业盘活提升攻坚行动。每年动态排摸、分类建档，建立任务清单，“一企一策”制订盘活提升方案，综合运用兼并重组、招引复苏、改造提升、司法拍卖等多种方式，推动低效企业全面提升。</w:t>
      </w:r>
      <w:r>
        <w:rPr>
          <w:rFonts w:hint="eastAsia"/>
          <w:color w:val="auto"/>
          <w:highlight w:val="none"/>
          <w:lang w:eastAsia="zh-CN"/>
        </w:rPr>
        <w:t>“十五五”期间年均</w:t>
      </w:r>
      <w:r>
        <w:rPr>
          <w:rFonts w:hint="eastAsia"/>
          <w:color w:val="auto"/>
          <w:highlight w:val="none"/>
        </w:rPr>
        <w:t>盘活低效闲置工业用地</w:t>
      </w:r>
      <w:r>
        <w:rPr>
          <w:rFonts w:hint="eastAsia"/>
          <w:color w:val="auto"/>
          <w:highlight w:val="none"/>
          <w:lang w:val="en-US" w:eastAsia="zh-CN"/>
        </w:rPr>
        <w:t>800</w:t>
      </w:r>
      <w:r>
        <w:rPr>
          <w:rFonts w:hint="eastAsia"/>
          <w:color w:val="auto"/>
          <w:highlight w:val="none"/>
        </w:rPr>
        <w:t>亩以上。优化土地资源配置，积极推行工业用地“标准地+双信地+定制地”供应模式，探索建设用地“增存挂钩”供应模式，严格落实新增建设用地指标与存量土地盘活挂钩制度，引导建设项目优先使用存量土地；推动工业园区（集中区）有机更新，支持重点园区企业集中连片改造、建设小微企业园；推动低效产能主动退出，引导各地综合运用法律、经济、行政等手段，退出一批低效企业，优化资源要素，腾出发展新空间。</w:t>
      </w:r>
    </w:p>
    <w:p w14:paraId="56731D39">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eastAsia="方正仿宋_GB2312"/>
          <w:color w:val="auto"/>
          <w:highlight w:val="none"/>
          <w:lang w:val="en-US" w:eastAsia="zh-CN"/>
        </w:rPr>
      </w:pPr>
      <w:r>
        <w:rPr>
          <w:rFonts w:hint="default" w:ascii="Times New Roman" w:hAnsi="Times New Roman" w:eastAsia="楷体" w:cs="Times New Roman"/>
          <w:color w:val="auto"/>
          <w:highlight w:val="none"/>
        </w:rPr>
        <w:t>2.大</w:t>
      </w:r>
      <w:r>
        <w:rPr>
          <w:rFonts w:hint="eastAsia" w:ascii="楷体" w:hAnsi="楷体" w:eastAsia="楷体" w:cs="楷体"/>
          <w:color w:val="auto"/>
          <w:highlight w:val="none"/>
        </w:rPr>
        <w:t>力发展循环经济。</w:t>
      </w:r>
      <w:r>
        <w:rPr>
          <w:rFonts w:hint="eastAsia"/>
          <w:color w:val="auto"/>
          <w:highlight w:val="none"/>
        </w:rPr>
        <w:t>深入挖掘循环经济潜力，构建完善的循环产业链条。鼓励企业开展资源再生利用技术研发，提高资源回收利用率和再生产品质量。推动企业间的循环经济合作，支持维锂新能源锂电池修复区域推广，锦耐新材料绿岛集聚高温新材料再生资源，形成产业共生、资源共享的发展模式。</w:t>
      </w:r>
    </w:p>
    <w:p w14:paraId="54E28F2C">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ascii="楷体" w:hAnsi="楷体" w:eastAsia="楷体" w:cs="楷体"/>
          <w:color w:val="auto"/>
          <w:highlight w:val="none"/>
        </w:rPr>
      </w:pPr>
      <w:r>
        <w:rPr>
          <w:rFonts w:hint="eastAsia" w:ascii="楷体" w:hAnsi="楷体" w:eastAsia="楷体" w:cs="楷体"/>
          <w:color w:val="auto"/>
          <w:highlight w:val="none"/>
        </w:rPr>
        <w:t>（三）提升工业环保安全生产水平。</w:t>
      </w:r>
    </w:p>
    <w:p w14:paraId="71974054">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严格履行船舶修造行业安全监管职责，落实企业全员安全生产责任制，推进安全生产标准化实质化运行，坚决防范和遏制行业领域较大及以上生产安全事故发生。严格落实电动汽车充（换）电设施、电化学储能电站、电动自行车等新兴行业领域和有关职责交叉领域安全生产责任，引导工业企业在项目改造中同步考虑安全设施的设计、施工和验收。持续巩固全区铸造行业环境污染整治提升成果，充分发挥姜堰区铸造协会桥梁纽带作用，通过星级评价、产品开发、技术攻关、市场开拓等工作，引导企业自治，推动全区铸造行业向高端化、智能化、绿色化迈进。加强园区外化工企业安全管控，提升危险化学品使用风险管控能力，在2029年12月前，鼓励园区外化工企业通过提升安全环保管理和技术创新能力认定化工重点监测点，在不新增供地、不增加主要污染物排放总量的情况下新建、改建、扩建化工项目；鼓励园区外其他化工企业（非化工重点监测点）在不新增产品类别、不增加主要污染物排放总量、提升本质安全环保水平的前提下，实施提升改造项目，到2030年，全区化工行业保持平稳增长，能耗强度、主要污染物和碳排放强度持续下降，安全环保水平进一步提升。</w:t>
      </w:r>
    </w:p>
    <w:p w14:paraId="0EFAB3A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color w:val="auto"/>
          <w:highlight w:val="none"/>
        </w:rPr>
      </w:pPr>
      <w:bookmarkStart w:id="173" w:name="_Toc21558"/>
      <w:r>
        <w:rPr>
          <w:rFonts w:hint="eastAsia" w:ascii="Times New Roman" w:hAnsi="Times New Roman" w:eastAsia="黑体" w:cs="Times New Roman"/>
          <w:color w:val="auto"/>
          <w:sz w:val="32"/>
          <w:szCs w:val="32"/>
          <w:highlight w:val="none"/>
        </w:rPr>
        <w:t xml:space="preserve">第五节 </w:t>
      </w:r>
      <w:r>
        <w:rPr>
          <w:rFonts w:hint="eastAsia" w:ascii="Times New Roman" w:hAnsi="Times New Roman" w:eastAsia="黑体" w:cs="Times New Roman"/>
          <w:color w:val="auto"/>
          <w:sz w:val="32"/>
          <w:szCs w:val="32"/>
          <w:highlight w:val="none"/>
          <w:lang w:val="en-US" w:eastAsia="zh-CN"/>
        </w:rPr>
        <w:t>实施园区升级工程</w:t>
      </w:r>
      <w:r>
        <w:rPr>
          <w:rFonts w:hint="eastAsia"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val="en-US" w:eastAsia="zh-CN"/>
        </w:rPr>
        <w:t>优化产业空间布局</w:t>
      </w:r>
      <w:bookmarkEnd w:id="173"/>
    </w:p>
    <w:p w14:paraId="14B75319">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color w:val="auto"/>
          <w:highlight w:val="none"/>
        </w:rPr>
        <w:t>结合各镇（区）产业发展条件，策应“一主两副”功能布局，对各镇（区）工业空间布局进行导向性指引，加强产业园区与周边区域的功能协调和环境管控。进一步发挥</w:t>
      </w:r>
      <w:r>
        <w:rPr>
          <w:rFonts w:hint="eastAsia"/>
          <w:color w:val="auto"/>
          <w:highlight w:val="none"/>
          <w:lang w:val="en-US" w:eastAsia="zh-CN"/>
        </w:rPr>
        <w:t>一区两园工业</w:t>
      </w:r>
      <w:r>
        <w:rPr>
          <w:rFonts w:hint="eastAsia"/>
          <w:color w:val="auto"/>
          <w:highlight w:val="none"/>
        </w:rPr>
        <w:t>主阵地作用，突出各园区特色优势环节和领域，实现错位化发展、差异化竞争。支持各镇（区）加快产业集聚区整合，推动重点集聚区与中小型镇工业集中区对接，鼓励和支持通过项目置换财政转移支付等方式，按照产业集聚原则“切块”，将乡镇工业集中区同类企业落户特定重点集聚区，提高产业集中度</w:t>
      </w:r>
      <w:r>
        <w:rPr>
          <w:rFonts w:hint="eastAsia"/>
          <w:color w:val="auto"/>
          <w:highlight w:val="none"/>
          <w:lang w:eastAsia="zh-CN"/>
        </w:rPr>
        <w:t>，</w:t>
      </w:r>
      <w:r>
        <w:rPr>
          <w:rFonts w:hint="eastAsia"/>
          <w:color w:val="auto"/>
          <w:highlight w:val="none"/>
          <w:lang w:val="en-US" w:eastAsia="zh-CN"/>
        </w:rPr>
        <w:t>5年内打造成功2个省级以上中小企业特色产业集群</w:t>
      </w:r>
      <w:r>
        <w:rPr>
          <w:rFonts w:hint="eastAsia"/>
          <w:color w:val="auto"/>
          <w:highlight w:val="none"/>
        </w:rPr>
        <w:t>。坚持集约集聚、功能互补、协同联动，引导资源要素高效配置，提升园区发展能级</w:t>
      </w:r>
      <w:r>
        <w:rPr>
          <w:rFonts w:hint="eastAsia"/>
          <w:color w:val="auto"/>
          <w:highlight w:val="none"/>
          <w:lang w:eastAsia="zh-CN"/>
        </w:rPr>
        <w:t>，</w:t>
      </w:r>
      <w:r>
        <w:rPr>
          <w:rFonts w:hint="eastAsia"/>
          <w:color w:val="auto"/>
          <w:highlight w:val="none"/>
          <w:lang w:val="en-US" w:eastAsia="zh-CN"/>
        </w:rPr>
        <w:t>5年内打造2-3个省级、国家级绿色制造示范园区和智能制造示范园区</w:t>
      </w:r>
      <w:r>
        <w:rPr>
          <w:rFonts w:hint="eastAsia"/>
          <w:color w:val="auto"/>
          <w:highlight w:val="none"/>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A59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457FD4A9">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黑体" w:cs="Times New Roman"/>
                <w:color w:val="auto"/>
                <w:sz w:val="24"/>
                <w:szCs w:val="24"/>
                <w:highlight w:val="none"/>
                <w:vertAlign w:val="baseline"/>
                <w:lang w:val="en-US" w:eastAsia="zh-CN"/>
              </w:rPr>
            </w:pPr>
            <w:r>
              <w:rPr>
                <w:rFonts w:hint="eastAsia" w:ascii="Times New Roman" w:hAnsi="Times New Roman" w:eastAsia="黑体" w:cs="Times New Roman"/>
                <w:color w:val="auto"/>
                <w:sz w:val="24"/>
                <w:szCs w:val="24"/>
                <w:highlight w:val="none"/>
                <w:vertAlign w:val="baseline"/>
                <w:lang w:val="en-US" w:eastAsia="zh-CN"/>
              </w:rPr>
              <w:t>专栏7 “1+2+X”园区发展方向和目标</w:t>
            </w:r>
          </w:p>
        </w:tc>
      </w:tr>
      <w:tr w14:paraId="39D8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2D9B6532">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1、经济开发区。锚定省级园区第一方阵，深入实施创新驱动和人才强区战略，聚焦主导产业转型升级与新兴产业培育壮大，着力发展新能源装备制造、车船轨交部件制造、电子信息智能制造产业“2+1”产业体系，推动传统产业转型升级，深化产创融合，创成国家级车船轨交关键零部件产业集群。提高园区绿色集约发展水平，切实提升亩均开票、亩均税收，加大园区内批而未供和闲置土地整理力度。加速推进产城融合，积极优化城市功能配套，进一步完善人才公寓、教育医疗等服务设施，依托零碳产业园建设推动绿色转型，通过“三员合一”服务机制优化营商环境，实现产业集聚、城市功能与人才引育的协同发展，建设现代化产业新城。到2030年，规上工业产值达480亿元，国家高新技术企业突破140家，上市企业达6家以上，为争创国家级开发区奠定基础</w:t>
            </w:r>
          </w:p>
          <w:p w14:paraId="54C67AB0">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2、高新技术产业开发区。以创成省级高新区为新起点，聚焦特色主导产业，集中集聚产业和科创项目，构建以汽车零部件及海工装备为主导、以医药及医疗器械和电子信息制造为支撑、以人工智能、合成生物、6G通讯等“X”个未来产业为后备的“1+2+X”现代化产业体系。将实数融合作为高质量发展的关键一招，注重提升数字经济牵引力、夯实基础设施支撑力，持续深化“智改数转网联”，打造数字经济特色产业园，创成国家级绿色工业园区。到2030年，规上工业产值达180亿元，国家高新技术企业突破130家，省潜在独角兽（独角兽）和瞪羚企业突破6家，跻身省级高新区第一方阵。</w:t>
            </w:r>
          </w:p>
          <w:p w14:paraId="191AADD5">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3、高新技术装备产业园。聚焦“1+4”产业体系，发展壮大汽车零部件及油气装备产业，加快推动传统油气装备向高端海洋油气装备转型，在深海钻采、海洋新材料等领域持续发力，实现产业链企业精益化管理全覆盖，争创省级油气装备中小企业特色产业集群，创成国家级高端海洋油气装备产业基地。支持引导龙头企业开展技术攻关、产业链整合和商业模式创新，进一步提升特高压输电、高压共轨等细分领域市场占有量。着力打造省级海洋油气装备公共检测中心，不断完善人才公寓、垃圾中转站、污水处理厂等配套设施，全面提升区域整体竞争力。到2030年，规上工业产值达150亿元，园区规上企业突破120家，国家高新技术企业突破70家。</w:t>
            </w:r>
          </w:p>
          <w:p w14:paraId="46C0FE54">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4、X个镇属特色产业集聚区。包括：装备园区的油气装备产业集聚区、蒋垛镇高温新材料产业集聚区、娄庄镇的金属管材管件集聚区、淤溪镇白色家电配件集聚区、张甸镇热处理装备产业集聚区、溱潼镇金属材料产业集聚区等。</w:t>
            </w:r>
          </w:p>
        </w:tc>
      </w:tr>
    </w:tbl>
    <w:p w14:paraId="07982E3D">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p>
    <w:p w14:paraId="6EF070AF">
      <w:pPr>
        <w:rPr>
          <w:rFonts w:hint="eastAsia" w:ascii="Times New Roman" w:hAnsi="Times New Roman" w:eastAsia="方正小标宋_GBK" w:cs="Times New Roman"/>
          <w:color w:val="auto"/>
          <w:spacing w:val="11"/>
          <w:kern w:val="44"/>
          <w:sz w:val="36"/>
          <w:szCs w:val="36"/>
        </w:rPr>
      </w:pPr>
      <w:bookmarkStart w:id="174" w:name="_Toc31001"/>
      <w:r>
        <w:rPr>
          <w:rFonts w:hint="eastAsia" w:ascii="Times New Roman" w:hAnsi="Times New Roman" w:eastAsia="方正小标宋_GBK" w:cs="Times New Roman"/>
          <w:color w:val="auto"/>
          <w:spacing w:val="11"/>
          <w:kern w:val="44"/>
          <w:sz w:val="36"/>
          <w:szCs w:val="36"/>
        </w:rPr>
        <w:br w:type="page"/>
      </w:r>
    </w:p>
    <w:p w14:paraId="545EC1E9">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lang w:val="en-US" w:eastAsia="zh-CN" w:bidi="ar-SA"/>
        </w:rPr>
      </w:pPr>
    </w:p>
    <w:p w14:paraId="4D5FA38E">
      <w:pPr>
        <w:keepNext/>
        <w:keepLines/>
        <w:pageBreakBefore w:val="0"/>
        <w:widowControl w:val="0"/>
        <w:numPr>
          <w:ilvl w:val="0"/>
          <w:numId w:val="0"/>
        </w:numPr>
        <w:kinsoku/>
        <w:wordWrap/>
        <w:overflowPunct/>
        <w:topLinePunct w:val="0"/>
        <w:autoSpaceDE/>
        <w:autoSpaceDN/>
        <w:bidi w:val="0"/>
        <w:adjustRightInd/>
        <w:snapToGrid/>
        <w:spacing w:after="161" w:afterLines="50" w:line="587" w:lineRule="exact"/>
        <w:ind w:left="0" w:leftChars="0" w:right="0" w:rightChars="0" w:firstLine="0" w:firstLineChars="0"/>
        <w:jc w:val="center"/>
        <w:textAlignment w:val="auto"/>
        <w:outlineLvl w:val="0"/>
        <w:rPr>
          <w:rFonts w:hint="eastAsia" w:ascii="Times New Roman" w:hAnsi="Times New Roman" w:eastAsia="方正小标宋_GBK" w:cs="Times New Roman"/>
          <w:color w:val="auto"/>
          <w:spacing w:val="11"/>
          <w:kern w:val="44"/>
          <w:sz w:val="36"/>
          <w:szCs w:val="36"/>
        </w:rPr>
      </w:pPr>
      <w:r>
        <w:rPr>
          <w:rFonts w:hint="eastAsia" w:ascii="Times New Roman" w:hAnsi="Times New Roman" w:eastAsia="方正小标宋_GBK" w:cs="Times New Roman"/>
          <w:color w:val="auto"/>
          <w:spacing w:val="11"/>
          <w:kern w:val="44"/>
          <w:sz w:val="36"/>
          <w:szCs w:val="36"/>
          <w:lang w:val="en-US" w:eastAsia="zh-CN" w:bidi="ar-SA"/>
        </w:rPr>
        <w:t xml:space="preserve">第五章 </w:t>
      </w:r>
      <w:r>
        <w:rPr>
          <w:rFonts w:hint="eastAsia" w:ascii="Times New Roman" w:hAnsi="Times New Roman" w:eastAsia="方正小标宋_GBK" w:cs="Times New Roman"/>
          <w:color w:val="auto"/>
          <w:spacing w:val="11"/>
          <w:kern w:val="44"/>
          <w:sz w:val="36"/>
          <w:szCs w:val="36"/>
        </w:rPr>
        <w:t>实施保障措施</w:t>
      </w:r>
      <w:bookmarkEnd w:id="174"/>
    </w:p>
    <w:p w14:paraId="56EBA6B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ascii="Times New Roman" w:hAnsi="Times New Roman" w:eastAsia="黑体" w:cs="Times New Roman"/>
          <w:color w:val="auto"/>
          <w:sz w:val="32"/>
          <w:szCs w:val="32"/>
          <w:highlight w:val="none"/>
        </w:rPr>
      </w:pPr>
      <w:bookmarkStart w:id="175" w:name="_Toc22911"/>
      <w:r>
        <w:rPr>
          <w:rFonts w:hint="eastAsia" w:ascii="Times New Roman" w:hAnsi="Times New Roman" w:eastAsia="黑体" w:cs="Times New Roman"/>
          <w:color w:val="auto"/>
          <w:sz w:val="32"/>
          <w:szCs w:val="32"/>
          <w:highlight w:val="none"/>
        </w:rPr>
        <w:t>第一节 加强组织协调</w:t>
      </w:r>
      <w:bookmarkEnd w:id="175"/>
    </w:p>
    <w:p w14:paraId="0FF3B95F">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（一）明确责任分工。</w:t>
      </w:r>
      <w:r>
        <w:rPr>
          <w:rFonts w:hint="eastAsia"/>
          <w:color w:val="auto"/>
          <w:highlight w:val="none"/>
        </w:rPr>
        <w:t>对规划确定的重点任务、重大工程和指标体系进行分解，明确责任单位、时间表和路线图。各部门要制定配套实施方案和年度工作计划，确保各项任务有效落实。</w:t>
      </w:r>
    </w:p>
    <w:p w14:paraId="692AD9D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（二）强化统筹协同。</w:t>
      </w:r>
      <w:r>
        <w:rPr>
          <w:rFonts w:hint="eastAsia"/>
          <w:color w:val="auto"/>
          <w:highlight w:val="none"/>
        </w:rPr>
        <w:t>加强本规划与国民经济和社会发展规划、国土空间规划、环境保护规划等各级各类规划的衔接，确保战略导向一致、空间布局协调、时序安排合理。加强部门间政策制定的协调联动，避免政策碎片化和相互掣肘。</w:t>
      </w:r>
    </w:p>
    <w:p w14:paraId="7ABA8F7D">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（三）强化服务指导。</w:t>
      </w:r>
      <w:r>
        <w:rPr>
          <w:rFonts w:hint="eastAsia"/>
          <w:color w:val="auto"/>
          <w:highlight w:val="none"/>
        </w:rPr>
        <w:t>充分利用“堰商汇”平台，为各类企业提供政府信息服务，进一步深化服务专员和政企恳谈会议制度，畅通政企联系渠道，帮助企业化解发展矛盾问题，为全区营商环境提供提供支撑。</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1775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643600F4">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eastAsia="黑体" w:cs="Times New Roman"/>
                <w:color w:val="auto"/>
                <w:sz w:val="24"/>
                <w:szCs w:val="24"/>
                <w:highlight w:val="none"/>
                <w:vertAlign w:val="baseline"/>
                <w:lang w:val="en-US" w:eastAsia="zh-CN"/>
              </w:rPr>
            </w:pPr>
            <w:r>
              <w:rPr>
                <w:rFonts w:hint="eastAsia" w:ascii="Times New Roman" w:hAnsi="Times New Roman" w:eastAsia="黑体" w:cs="Times New Roman"/>
                <w:color w:val="auto"/>
                <w:sz w:val="24"/>
                <w:szCs w:val="24"/>
                <w:highlight w:val="none"/>
                <w:vertAlign w:val="baseline"/>
                <w:lang w:val="en-US" w:eastAsia="zh-CN"/>
              </w:rPr>
              <w:t>专栏8：企业和项目“服务专员”机制</w:t>
            </w:r>
          </w:p>
        </w:tc>
      </w:tr>
      <w:tr w14:paraId="2B23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7BF16CFB">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sz w:val="24"/>
                <w:szCs w:val="24"/>
                <w:highlight w:val="none"/>
                <w:vertAlign w:val="baseline"/>
                <w:lang w:val="en-US" w:eastAsia="zh-CN"/>
              </w:rPr>
            </w:pPr>
            <w:r>
              <w:rPr>
                <w:rFonts w:hint="eastAsia" w:ascii="Times New Roman" w:hAnsi="Times New Roman" w:eastAsia="宋体" w:cs="Times New Roman"/>
                <w:color w:val="auto"/>
                <w:sz w:val="24"/>
                <w:szCs w:val="24"/>
                <w:highlight w:val="none"/>
                <w:vertAlign w:val="baseline"/>
                <w:lang w:val="en-US" w:eastAsia="zh-CN"/>
              </w:rPr>
              <w:t>进一步完善企业和项目“服务专员”人员配备，秉持“无事不扰、有事必到”原则，每季度走访服务单位至少1次，及时梳理问题，跟踪闭环处理，区效能办督查问效。1.区领导联系服务重点产业链群、重点企业、重大项目；2.镇街（园区）党政负责人及相关部门负责人联系服务规上工业企业、部分服务业企业、建筑业企业及在建亿元以上项目；3.其他企业、项目由镇街（园区）、相关部门工作人员联系服务。</w:t>
            </w:r>
          </w:p>
        </w:tc>
      </w:tr>
    </w:tbl>
    <w:p w14:paraId="08F48F3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color w:val="auto"/>
          <w:highlight w:val="none"/>
        </w:rPr>
      </w:pPr>
      <w:bookmarkStart w:id="176" w:name="_Toc22921"/>
      <w:r>
        <w:rPr>
          <w:rFonts w:hint="eastAsia" w:ascii="Times New Roman" w:hAnsi="Times New Roman" w:eastAsia="黑体" w:cs="Times New Roman"/>
          <w:color w:val="auto"/>
          <w:sz w:val="32"/>
          <w:szCs w:val="32"/>
          <w:highlight w:val="none"/>
        </w:rPr>
        <w:t>第二节 强化政策支持</w:t>
      </w:r>
      <w:bookmarkEnd w:id="176"/>
    </w:p>
    <w:p w14:paraId="276728EE">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（一）完善产业培育体系。</w:t>
      </w:r>
      <w:r>
        <w:rPr>
          <w:rFonts w:hint="eastAsia"/>
          <w:color w:val="auto"/>
          <w:highlight w:val="none"/>
        </w:rPr>
        <w:t>围绕“2+2+X”产业发展方向，继续实施区领导牵头挂联、牵头部门落实，促进主导产业发展工作机制，制定和完善年度精准的产业发展工作措施。实行“揭榜挂帅”、“赛马”等机制，开展产业链群专题招商，形成招商工作清单、项目目标清单，推动增量跃升。</w:t>
      </w:r>
    </w:p>
    <w:p w14:paraId="25B534E5">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（二）</w:t>
      </w:r>
      <w:r>
        <w:rPr>
          <w:rFonts w:hint="eastAsia" w:ascii="楷体" w:hAnsi="楷体" w:eastAsia="楷体" w:cs="楷体"/>
          <w:color w:val="auto"/>
          <w:highlight w:val="none"/>
          <w:lang w:eastAsia="zh-CN"/>
        </w:rPr>
        <w:t>优化</w:t>
      </w:r>
      <w:r>
        <w:rPr>
          <w:rFonts w:hint="eastAsia" w:ascii="楷体" w:hAnsi="楷体" w:eastAsia="楷体" w:cs="楷体"/>
          <w:color w:val="auto"/>
          <w:highlight w:val="none"/>
        </w:rPr>
        <w:t>财政扶持</w:t>
      </w:r>
      <w:r>
        <w:rPr>
          <w:rFonts w:hint="eastAsia" w:ascii="楷体" w:hAnsi="楷体" w:eastAsia="楷体" w:cs="楷体"/>
          <w:color w:val="auto"/>
          <w:highlight w:val="none"/>
          <w:lang w:eastAsia="zh-CN"/>
        </w:rPr>
        <w:t>结构</w:t>
      </w:r>
      <w:r>
        <w:rPr>
          <w:rFonts w:hint="eastAsia" w:ascii="楷体" w:hAnsi="楷体" w:eastAsia="楷体" w:cs="楷体"/>
          <w:color w:val="auto"/>
          <w:highlight w:val="none"/>
        </w:rPr>
        <w:t>。</w:t>
      </w:r>
      <w:r>
        <w:rPr>
          <w:rFonts w:hint="eastAsia" w:cs="Times New Roman"/>
          <w:color w:val="auto"/>
          <w:highlight w:val="none"/>
          <w:lang w:eastAsia="zh-CN"/>
        </w:rPr>
        <w:t>研究新形势下财政支持工业的政策措施，重点支持企业转型升级、科技研发、人才引进等，打造公共服务平台。抓好项目上争工作。</w:t>
      </w:r>
      <w:r>
        <w:rPr>
          <w:rFonts w:hint="eastAsia" w:cs="Times New Roman"/>
          <w:color w:val="auto"/>
          <w:highlight w:val="none"/>
        </w:rPr>
        <w:t>规范涉企行政事业性收费，抓好清理政府国有企业拖欠中小企业</w:t>
      </w:r>
      <w:r>
        <w:rPr>
          <w:rFonts w:hint="eastAsia"/>
          <w:color w:val="auto"/>
          <w:highlight w:val="none"/>
        </w:rPr>
        <w:t>账款工作，切实减轻企业负担。</w:t>
      </w:r>
    </w:p>
    <w:p w14:paraId="66DC0B4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color w:val="auto"/>
          <w:highlight w:val="none"/>
        </w:rPr>
      </w:pPr>
      <w:bookmarkStart w:id="177" w:name="_Toc26335"/>
      <w:r>
        <w:rPr>
          <w:rFonts w:hint="eastAsia" w:ascii="Times New Roman" w:hAnsi="Times New Roman" w:eastAsia="黑体" w:cs="Times New Roman"/>
          <w:color w:val="auto"/>
          <w:sz w:val="32"/>
          <w:szCs w:val="32"/>
          <w:highlight w:val="none"/>
        </w:rPr>
        <w:t>第三节 优化要素保障</w:t>
      </w:r>
      <w:bookmarkEnd w:id="177"/>
    </w:p>
    <w:p w14:paraId="0664557A">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（一）加强人才引育。</w:t>
      </w:r>
      <w:r>
        <w:rPr>
          <w:rFonts w:hint="eastAsia"/>
          <w:color w:val="auto"/>
          <w:highlight w:val="none"/>
        </w:rPr>
        <w:t>实施更加积极、开放、有效的人才政策，大力引进产业发展急需的高层次人才、领军人才、创新团队和高技能人才。深化产教融合，支持职业院校与重点企业合作培养技术技能人才。优化人才服务保障，营造近悦远来的人才发展环境。</w:t>
      </w:r>
    </w:p>
    <w:p w14:paraId="323BE960">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（二）保障产业发展空间。</w:t>
      </w:r>
      <w:r>
        <w:rPr>
          <w:rFonts w:hint="eastAsia"/>
          <w:color w:val="auto"/>
          <w:highlight w:val="none"/>
        </w:rPr>
        <w:t>保障工业发展合理用地需求，优先保障重点产业项目和园区发展用地。推行“标准地”出让制度，提高土地集约利用水平。鼓励建设高标准厂房，促进土地复合利用。</w:t>
      </w:r>
    </w:p>
    <w:p w14:paraId="6EEFCE93">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（三）强化金融支撑。</w:t>
      </w:r>
      <w:r>
        <w:rPr>
          <w:rFonts w:hint="eastAsia"/>
          <w:color w:val="auto"/>
          <w:highlight w:val="none"/>
        </w:rPr>
        <w:t>鼓励金融机构开发针对工业企业技术改造、科技创新、绿色转型的信贷产品。发挥政府性融资担保机构作用，降低中小企业融资门槛。支持符合条件的企业上市融资和发行债券。规范发展产业投资基金，撬动社会资本支持产业发展。</w:t>
      </w:r>
    </w:p>
    <w:p w14:paraId="4757CA4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left="0" w:leftChars="0" w:firstLine="0" w:firstLineChars="0"/>
        <w:jc w:val="center"/>
        <w:textAlignment w:val="auto"/>
        <w:outlineLvl w:val="1"/>
        <w:rPr>
          <w:rFonts w:hint="eastAsia"/>
          <w:color w:val="auto"/>
          <w:highlight w:val="none"/>
        </w:rPr>
      </w:pPr>
      <w:bookmarkStart w:id="178" w:name="_Toc16001"/>
      <w:r>
        <w:rPr>
          <w:rFonts w:hint="eastAsia" w:ascii="Times New Roman" w:hAnsi="Times New Roman" w:eastAsia="黑体" w:cs="Times New Roman"/>
          <w:color w:val="auto"/>
          <w:sz w:val="32"/>
          <w:szCs w:val="32"/>
          <w:highlight w:val="none"/>
        </w:rPr>
        <w:t>第四节 健全监测评估机制</w:t>
      </w:r>
      <w:bookmarkEnd w:id="178"/>
    </w:p>
    <w:p w14:paraId="63D4ECE3">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（一）开展规划年度监测。</w:t>
      </w:r>
      <w:r>
        <w:rPr>
          <w:rFonts w:hint="eastAsia"/>
          <w:color w:val="auto"/>
          <w:highlight w:val="none"/>
        </w:rPr>
        <w:t>建立健全规划指标和重点任务的统计监测体系。领导小组办公室牵头组织开展规划实施情况年度监测分析，及时发现存在问题，提出改进建议。</w:t>
      </w:r>
    </w:p>
    <w:p w14:paraId="127CB1C6">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（二）实施中期评估和总结评估</w:t>
      </w:r>
      <w:r>
        <w:rPr>
          <w:rFonts w:hint="eastAsia"/>
          <w:color w:val="auto"/>
          <w:highlight w:val="none"/>
        </w:rPr>
        <w:t>。在规划实施第三年组织开展中期评估，根据评估结果和内外部环境变化，按规定程序对规划进行动态调整。规划期结束后进行总结评估，全面评价规划实施效果。</w:t>
      </w:r>
    </w:p>
    <w:p w14:paraId="7C0EC27C">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rPr>
          <w:rFonts w:hint="eastAsia"/>
          <w:color w:val="auto"/>
          <w:highlight w:val="none"/>
        </w:rPr>
      </w:pPr>
      <w:r>
        <w:rPr>
          <w:rFonts w:hint="eastAsia" w:ascii="楷体" w:hAnsi="楷体" w:eastAsia="楷体" w:cs="楷体"/>
          <w:color w:val="auto"/>
          <w:highlight w:val="none"/>
        </w:rPr>
        <w:t>（三）强化评估结果运用。</w:t>
      </w:r>
      <w:r>
        <w:rPr>
          <w:rFonts w:hint="eastAsia"/>
          <w:color w:val="auto"/>
          <w:highlight w:val="none"/>
        </w:rPr>
        <w:t>将规划实施情况的评估结果，作为评价各镇街、园区和相关部门工作的重要依据。</w:t>
      </w:r>
    </w:p>
    <w:sectPr>
      <w:footerReference r:id="rId5" w:type="default"/>
      <w:pgSz w:w="11906" w:h="16838"/>
      <w:pgMar w:top="2098" w:right="1474" w:bottom="1984" w:left="1587" w:header="851" w:footer="1191"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AF14D6-BAAC-4D12-8C56-25B8BD0DEF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embedRegular r:id="rId2" w:fontKey="{8B11ADA6-37FB-4245-996E-C7D25A808C00}"/>
  </w:font>
  <w:font w:name="方正楷体_GBK">
    <w:panose1 w:val="03000509000000000000"/>
    <w:charset w:val="86"/>
    <w:family w:val="auto"/>
    <w:pitch w:val="default"/>
    <w:sig w:usb0="00000001" w:usb1="080E0000" w:usb2="00000000" w:usb3="00000000" w:csb0="00040000" w:csb1="00000000"/>
    <w:embedRegular r:id="rId3" w:fontKey="{55B75EF5-DA69-4BAB-8017-3878F1AEDFCB}"/>
  </w:font>
  <w:font w:name="方正小标宋_GBK">
    <w:panose1 w:val="03000509000000000000"/>
    <w:charset w:val="86"/>
    <w:family w:val="auto"/>
    <w:pitch w:val="default"/>
    <w:sig w:usb0="00000001" w:usb1="080E0000" w:usb2="00000000" w:usb3="00000000" w:csb0="00040000" w:csb1="00000000"/>
    <w:embedRegular r:id="rId4" w:fontKey="{35723E62-D285-4F53-9BE7-8BA2607F5C41}"/>
  </w:font>
  <w:font w:name="方正仿宋_GB2312">
    <w:altName w:val="方正仿宋_GBK"/>
    <w:panose1 w:val="02000000000000000000"/>
    <w:charset w:val="00"/>
    <w:family w:val="auto"/>
    <w:pitch w:val="default"/>
    <w:sig w:usb0="00000000" w:usb1="00000000" w:usb2="00000012" w:usb3="00000000" w:csb0="00040001" w:csb1="00000000"/>
    <w:embedRegular r:id="rId5" w:fontKey="{A856A55C-488F-4C7B-B0F0-B7EF9380C21F}"/>
  </w:font>
  <w:font w:name="方正仿宋_GBK">
    <w:panose1 w:val="03000509000000000000"/>
    <w:charset w:val="86"/>
    <w:family w:val="auto"/>
    <w:pitch w:val="default"/>
    <w:sig w:usb0="00000001" w:usb1="080E0000" w:usb2="00000000" w:usb3="00000000" w:csb0="00040000" w:csb1="00000000"/>
    <w:embedRegular r:id="rId6" w:fontKey="{FB42E0CB-A6E3-4639-B633-8A3780721767}"/>
  </w:font>
  <w:font w:name="楷体">
    <w:panose1 w:val="02010609060101010101"/>
    <w:charset w:val="86"/>
    <w:family w:val="auto"/>
    <w:pitch w:val="default"/>
    <w:sig w:usb0="800002BF" w:usb1="38CF7CFA" w:usb2="00000016" w:usb3="00000000" w:csb0="00040001" w:csb1="00000000"/>
    <w:embedRegular r:id="rId7" w:fontKey="{E14146DA-A4CD-4552-A0D5-5EE1D1BABF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CA2B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482A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407B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AED1B5">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- 23 -</w:t>
                          </w:r>
                          <w:r>
                            <w:rPr>
                              <w:rFonts w:ascii="Times New Roman" w:hAnsi="Times New Roman"/>
                              <w:sz w:val="28"/>
                              <w:szCs w:val="28"/>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KFoN4BAAC+AwAADgAAAGRycy9lMm9Eb2MueG1srVNLjhMxEN0jcQfL&#10;e+Kej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UoWg3gEAAL4DAAAOAAAAAAAA&#10;AAEAIAAAAB4BAABkcnMvZTJvRG9jLnhtbFBLBQYAAAAABgAGAFkBAABuBQAAAAA=&#10;">
              <v:fill on="f" focussize="0,0"/>
              <v:stroke on="f"/>
              <v:imagedata o:title=""/>
              <o:lock v:ext="edit" aspectratio="f"/>
              <v:textbox inset="0mm,0mm,0mm,0mm" style="mso-fit-shape-to-text:t;">
                <w:txbxContent>
                  <w:p w14:paraId="4CAED1B5">
                    <w:pPr>
                      <w:pStyle w:val="5"/>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- 23 -</w:t>
                    </w:r>
                    <w:r>
                      <w:rPr>
                        <w:rFonts w:ascii="Times New Roman" w:hAnsi="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6A3"/>
    <w:rsid w:val="001315D9"/>
    <w:rsid w:val="003676A3"/>
    <w:rsid w:val="0048311A"/>
    <w:rsid w:val="004E73C0"/>
    <w:rsid w:val="008129A1"/>
    <w:rsid w:val="01342942"/>
    <w:rsid w:val="02371A33"/>
    <w:rsid w:val="02C31095"/>
    <w:rsid w:val="02D750C2"/>
    <w:rsid w:val="03353615"/>
    <w:rsid w:val="03520E97"/>
    <w:rsid w:val="0442138C"/>
    <w:rsid w:val="048138C4"/>
    <w:rsid w:val="04A00EC1"/>
    <w:rsid w:val="05C61BA8"/>
    <w:rsid w:val="061B7249"/>
    <w:rsid w:val="06CD64B7"/>
    <w:rsid w:val="07CD682B"/>
    <w:rsid w:val="08091799"/>
    <w:rsid w:val="08E048A3"/>
    <w:rsid w:val="094A20CE"/>
    <w:rsid w:val="09923560"/>
    <w:rsid w:val="0B4A5318"/>
    <w:rsid w:val="0BC65B89"/>
    <w:rsid w:val="0C581CC5"/>
    <w:rsid w:val="0CD06705"/>
    <w:rsid w:val="0CDC5021"/>
    <w:rsid w:val="0D6F02F2"/>
    <w:rsid w:val="0D742CC2"/>
    <w:rsid w:val="0EB46291"/>
    <w:rsid w:val="0F055EC5"/>
    <w:rsid w:val="10771D04"/>
    <w:rsid w:val="121727C8"/>
    <w:rsid w:val="12653CDE"/>
    <w:rsid w:val="138C4B58"/>
    <w:rsid w:val="13AD3F51"/>
    <w:rsid w:val="141A488D"/>
    <w:rsid w:val="142742AD"/>
    <w:rsid w:val="1441181D"/>
    <w:rsid w:val="1537146E"/>
    <w:rsid w:val="168E6542"/>
    <w:rsid w:val="17223BAC"/>
    <w:rsid w:val="198A4D4D"/>
    <w:rsid w:val="19D90ED9"/>
    <w:rsid w:val="1B74551A"/>
    <w:rsid w:val="1BF00768"/>
    <w:rsid w:val="1C2071AA"/>
    <w:rsid w:val="1D3F5270"/>
    <w:rsid w:val="1DB14E1E"/>
    <w:rsid w:val="1E227A62"/>
    <w:rsid w:val="1E4C3ACC"/>
    <w:rsid w:val="1E644BE3"/>
    <w:rsid w:val="1F634842"/>
    <w:rsid w:val="200F6E53"/>
    <w:rsid w:val="21490917"/>
    <w:rsid w:val="21B1030F"/>
    <w:rsid w:val="21BD1229"/>
    <w:rsid w:val="21CC53C4"/>
    <w:rsid w:val="22050AFE"/>
    <w:rsid w:val="220529E0"/>
    <w:rsid w:val="229F21A5"/>
    <w:rsid w:val="22AC3F50"/>
    <w:rsid w:val="23E61392"/>
    <w:rsid w:val="24753770"/>
    <w:rsid w:val="247E6E0A"/>
    <w:rsid w:val="24BC3C31"/>
    <w:rsid w:val="24D0304F"/>
    <w:rsid w:val="259039F2"/>
    <w:rsid w:val="25E628D9"/>
    <w:rsid w:val="25EF04D7"/>
    <w:rsid w:val="26851FC0"/>
    <w:rsid w:val="27153D2B"/>
    <w:rsid w:val="272118BB"/>
    <w:rsid w:val="272A5F0E"/>
    <w:rsid w:val="27BB4D1E"/>
    <w:rsid w:val="280F3991"/>
    <w:rsid w:val="28C66939"/>
    <w:rsid w:val="28DB4BC8"/>
    <w:rsid w:val="296D4AB0"/>
    <w:rsid w:val="2A2870BF"/>
    <w:rsid w:val="2A551A55"/>
    <w:rsid w:val="2B406E77"/>
    <w:rsid w:val="2B653E78"/>
    <w:rsid w:val="2C04260D"/>
    <w:rsid w:val="2C526E62"/>
    <w:rsid w:val="2C61744E"/>
    <w:rsid w:val="2D513C85"/>
    <w:rsid w:val="2D783DB8"/>
    <w:rsid w:val="2D7A2D2A"/>
    <w:rsid w:val="2D9A5FB1"/>
    <w:rsid w:val="2D9F5C19"/>
    <w:rsid w:val="2E5B2CB5"/>
    <w:rsid w:val="2EBF00B3"/>
    <w:rsid w:val="2EE37347"/>
    <w:rsid w:val="2EFB2883"/>
    <w:rsid w:val="2FCF132F"/>
    <w:rsid w:val="2FCF7EC6"/>
    <w:rsid w:val="2FE82F10"/>
    <w:rsid w:val="312E1468"/>
    <w:rsid w:val="31504640"/>
    <w:rsid w:val="31970943"/>
    <w:rsid w:val="31BA539C"/>
    <w:rsid w:val="337C68FE"/>
    <w:rsid w:val="33FDE9AA"/>
    <w:rsid w:val="34847549"/>
    <w:rsid w:val="34C85F4A"/>
    <w:rsid w:val="34FD47BB"/>
    <w:rsid w:val="355232BB"/>
    <w:rsid w:val="3592798E"/>
    <w:rsid w:val="364F7F6E"/>
    <w:rsid w:val="368F5CBB"/>
    <w:rsid w:val="369F27D0"/>
    <w:rsid w:val="36E80311"/>
    <w:rsid w:val="36FC0999"/>
    <w:rsid w:val="37B77B77"/>
    <w:rsid w:val="38350FBF"/>
    <w:rsid w:val="383F775E"/>
    <w:rsid w:val="386121BA"/>
    <w:rsid w:val="388557F5"/>
    <w:rsid w:val="39F223AE"/>
    <w:rsid w:val="3A7442D3"/>
    <w:rsid w:val="3A7A72A7"/>
    <w:rsid w:val="3AC04B6C"/>
    <w:rsid w:val="3B0C0A9E"/>
    <w:rsid w:val="3B12339B"/>
    <w:rsid w:val="3B305280"/>
    <w:rsid w:val="3C723457"/>
    <w:rsid w:val="3CA17711"/>
    <w:rsid w:val="3D4C5D36"/>
    <w:rsid w:val="3DF757C0"/>
    <w:rsid w:val="3E4D197B"/>
    <w:rsid w:val="3EE70E88"/>
    <w:rsid w:val="3F6F5439"/>
    <w:rsid w:val="3FEC5729"/>
    <w:rsid w:val="4273101C"/>
    <w:rsid w:val="42B33F89"/>
    <w:rsid w:val="43C51389"/>
    <w:rsid w:val="44302987"/>
    <w:rsid w:val="443A16C8"/>
    <w:rsid w:val="44BB0582"/>
    <w:rsid w:val="45C71414"/>
    <w:rsid w:val="461601E1"/>
    <w:rsid w:val="47594575"/>
    <w:rsid w:val="47B63534"/>
    <w:rsid w:val="482063F6"/>
    <w:rsid w:val="482D5D1B"/>
    <w:rsid w:val="48B00411"/>
    <w:rsid w:val="49586974"/>
    <w:rsid w:val="4A7F70FD"/>
    <w:rsid w:val="4B4C7620"/>
    <w:rsid w:val="4BE21402"/>
    <w:rsid w:val="4BF45F13"/>
    <w:rsid w:val="4DA97192"/>
    <w:rsid w:val="4DB8685F"/>
    <w:rsid w:val="4DC54756"/>
    <w:rsid w:val="4E1C2C29"/>
    <w:rsid w:val="4EA57406"/>
    <w:rsid w:val="4F3E357A"/>
    <w:rsid w:val="4F8F4266"/>
    <w:rsid w:val="50B74E28"/>
    <w:rsid w:val="52BD5884"/>
    <w:rsid w:val="53474EEC"/>
    <w:rsid w:val="53515086"/>
    <w:rsid w:val="53583640"/>
    <w:rsid w:val="539C2C7D"/>
    <w:rsid w:val="541302F0"/>
    <w:rsid w:val="54287D28"/>
    <w:rsid w:val="546F679D"/>
    <w:rsid w:val="547F1407"/>
    <w:rsid w:val="54805328"/>
    <w:rsid w:val="54947768"/>
    <w:rsid w:val="5555355C"/>
    <w:rsid w:val="55FB75FF"/>
    <w:rsid w:val="56206F98"/>
    <w:rsid w:val="562632F4"/>
    <w:rsid w:val="56677F09"/>
    <w:rsid w:val="56867F65"/>
    <w:rsid w:val="56DD672B"/>
    <w:rsid w:val="57A7215B"/>
    <w:rsid w:val="58A16A55"/>
    <w:rsid w:val="58CA501F"/>
    <w:rsid w:val="5A1E64AA"/>
    <w:rsid w:val="5ACD35A0"/>
    <w:rsid w:val="5B6E7605"/>
    <w:rsid w:val="5B8235B7"/>
    <w:rsid w:val="5BE57CEE"/>
    <w:rsid w:val="5BED311D"/>
    <w:rsid w:val="5CE01033"/>
    <w:rsid w:val="5D2A54BF"/>
    <w:rsid w:val="5D9702C9"/>
    <w:rsid w:val="5E560DF9"/>
    <w:rsid w:val="5EAD1F27"/>
    <w:rsid w:val="5EDE005C"/>
    <w:rsid w:val="5F3AAABE"/>
    <w:rsid w:val="5F3E6F95"/>
    <w:rsid w:val="5F6E48E7"/>
    <w:rsid w:val="5FFFB824"/>
    <w:rsid w:val="60B66CB8"/>
    <w:rsid w:val="60F010A1"/>
    <w:rsid w:val="60F35C2E"/>
    <w:rsid w:val="614A6A97"/>
    <w:rsid w:val="61C53BA4"/>
    <w:rsid w:val="62CA289A"/>
    <w:rsid w:val="62F351C7"/>
    <w:rsid w:val="64435EE8"/>
    <w:rsid w:val="64D63485"/>
    <w:rsid w:val="64E80805"/>
    <w:rsid w:val="653000F0"/>
    <w:rsid w:val="66362709"/>
    <w:rsid w:val="6656075B"/>
    <w:rsid w:val="669638CA"/>
    <w:rsid w:val="66AF0781"/>
    <w:rsid w:val="67CD1029"/>
    <w:rsid w:val="682C163B"/>
    <w:rsid w:val="686F784E"/>
    <w:rsid w:val="68724DA1"/>
    <w:rsid w:val="68C03A6B"/>
    <w:rsid w:val="68E5374B"/>
    <w:rsid w:val="69944010"/>
    <w:rsid w:val="69A625E7"/>
    <w:rsid w:val="69CE6A64"/>
    <w:rsid w:val="6A1F7553"/>
    <w:rsid w:val="6A423795"/>
    <w:rsid w:val="6A844C20"/>
    <w:rsid w:val="6A9E1087"/>
    <w:rsid w:val="6C8B725A"/>
    <w:rsid w:val="6D394A95"/>
    <w:rsid w:val="6DAA197A"/>
    <w:rsid w:val="6DE3009A"/>
    <w:rsid w:val="6E505ECF"/>
    <w:rsid w:val="6E5B3213"/>
    <w:rsid w:val="6EA841F5"/>
    <w:rsid w:val="6F6861C7"/>
    <w:rsid w:val="70FC4CA7"/>
    <w:rsid w:val="71A24986"/>
    <w:rsid w:val="71AA4981"/>
    <w:rsid w:val="72911D00"/>
    <w:rsid w:val="73707608"/>
    <w:rsid w:val="737978BF"/>
    <w:rsid w:val="74674D9C"/>
    <w:rsid w:val="762128D2"/>
    <w:rsid w:val="762E5DAD"/>
    <w:rsid w:val="765154CB"/>
    <w:rsid w:val="765F9191"/>
    <w:rsid w:val="767F273F"/>
    <w:rsid w:val="775373DB"/>
    <w:rsid w:val="776D5ECB"/>
    <w:rsid w:val="77D933F7"/>
    <w:rsid w:val="77EA68AE"/>
    <w:rsid w:val="782650BA"/>
    <w:rsid w:val="78A36FBE"/>
    <w:rsid w:val="79645306"/>
    <w:rsid w:val="79A501F2"/>
    <w:rsid w:val="79E0160F"/>
    <w:rsid w:val="7A830286"/>
    <w:rsid w:val="7B2924B7"/>
    <w:rsid w:val="7B52462D"/>
    <w:rsid w:val="7BE937AC"/>
    <w:rsid w:val="7C8256B7"/>
    <w:rsid w:val="7CAD0FBE"/>
    <w:rsid w:val="7D686059"/>
    <w:rsid w:val="7DE64694"/>
    <w:rsid w:val="7E8C38DB"/>
    <w:rsid w:val="7EAB10CC"/>
    <w:rsid w:val="7ED6DEB7"/>
    <w:rsid w:val="7EF7FB51"/>
    <w:rsid w:val="7EFD7567"/>
    <w:rsid w:val="7FD50AB1"/>
    <w:rsid w:val="ADE67695"/>
    <w:rsid w:val="AFF9A5BA"/>
    <w:rsid w:val="AFFFEABE"/>
    <w:rsid w:val="BCDF7FF5"/>
    <w:rsid w:val="CFDF5C1A"/>
    <w:rsid w:val="DCFF2D0F"/>
    <w:rsid w:val="DEAE06CB"/>
    <w:rsid w:val="DFF7D741"/>
    <w:rsid w:val="E33BE8F6"/>
    <w:rsid w:val="EEFF3E3E"/>
    <w:rsid w:val="FAB7614F"/>
    <w:rsid w:val="FBDF1C89"/>
    <w:rsid w:val="FBF9495A"/>
    <w:rsid w:val="FDFCA8A6"/>
    <w:rsid w:val="FF5B88DD"/>
    <w:rsid w:val="FF5D58A1"/>
    <w:rsid w:val="FF7DB4CA"/>
    <w:rsid w:val="FF89F0BF"/>
    <w:rsid w:val="FF9F0C88"/>
    <w:rsid w:val="FFFDA6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pacing w:line="580" w:lineRule="exact"/>
      <w:ind w:firstLine="420" w:firstLineChars="200"/>
    </w:pPr>
    <w:rPr>
      <w:rFonts w:ascii="Times New Roman" w:hAnsi="Times New Roman" w:eastAsia="方正仿宋_GB2312"/>
      <w:sz w:val="32"/>
      <w:szCs w:val="20"/>
    </w:rPr>
  </w:style>
  <w:style w:type="paragraph" w:styleId="3">
    <w:name w:val="toc 3"/>
    <w:basedOn w:val="1"/>
    <w:next w:val="1"/>
    <w:qFormat/>
    <w:uiPriority w:val="0"/>
    <w:pPr>
      <w:ind w:left="840" w:leftChars="400"/>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4"/>
    <w:basedOn w:val="1"/>
    <w:next w:val="1"/>
    <w:qFormat/>
    <w:uiPriority w:val="0"/>
    <w:pPr>
      <w:ind w:left="1260" w:leftChars="600"/>
    </w:pPr>
  </w:style>
  <w:style w:type="paragraph" w:styleId="9">
    <w:name w:val="toc 2"/>
    <w:basedOn w:val="1"/>
    <w:next w:val="1"/>
    <w:qFormat/>
    <w:uiPriority w:val="0"/>
    <w:pPr>
      <w:ind w:left="420" w:leftChars="200"/>
    </w:pPr>
  </w:style>
  <w:style w:type="paragraph" w:styleId="10">
    <w:name w:val="Normal (Web)"/>
    <w:basedOn w:val="1"/>
    <w:qFormat/>
    <w:uiPriority w:val="0"/>
    <w:rPr>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customStyle="1" w:styleId="15">
    <w:name w:val="批注框文本 Char"/>
    <w:link w:val="4"/>
    <w:qFormat/>
    <w:uiPriority w:val="0"/>
    <w:rPr>
      <w:rFonts w:ascii="Calibri" w:hAnsi="Calibri"/>
      <w:kern w:val="2"/>
      <w:sz w:val="18"/>
      <w:szCs w:val="18"/>
    </w:rPr>
  </w:style>
  <w:style w:type="paragraph" w:customStyle="1" w:styleId="1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7405</Words>
  <Characters>7952</Characters>
  <Lines>132</Lines>
  <Paragraphs>37</Paragraphs>
  <TotalTime>12</TotalTime>
  <ScaleCrop>false</ScaleCrop>
  <LinksUpToDate>false</LinksUpToDate>
  <CharactersWithSpaces>8012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2025-11-09T01:56:00Z</dcterms:created>
  <dc:creator>Administrator</dc:creator>
  <cp:lastModifiedBy>88</cp:lastModifiedBy>
  <cp:lastPrinted>2025-11-30T01:41:00Z</cp:lastPrinted>
  <dcterms:modified xsi:type="dcterms:W3CDTF">2026-05-18T01:08:39Z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C042EC32CEB742F5B586D76EC9402D0F_13</vt:lpwstr>
  </property>
  <property fmtid="{D5CDD505-2E9C-101B-9397-08002B2CF9AE}" pid="4" name="KSOTemplateDocerSaveRecord">
    <vt:lpwstr>eyJoZGlkIjoiZmY2M2RlYjU2MjBjNWQzMzA1MTM5YWI5NGI3ZmU4NGQiLCJ1c2VySWQiOiIxMjk1MDY5MzUyIn0=</vt:lpwstr>
  </property>
  <property fmtid="{D5CDD505-2E9C-101B-9397-08002B2CF9AE}" pid="5" name="KSOSaveFontToCloudKey">
    <vt:lpwstr>314401655_cloud</vt:lpwstr>
  </property>
</Properties>
</file>